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311B3D" w:rsidRDefault="001534CA">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2914D6" w:rsidRDefault="002914D6">
            <w:pPr>
              <w:rPr>
                <w:rFonts w:ascii="Arial" w:hAnsi="Arial"/>
                <w:b/>
                <w:bCs/>
                <w:noProof w:val="0"/>
                <w:sz w:val="26"/>
                <w:szCs w:val="26"/>
              </w:rPr>
            </w:pPr>
          </w:p>
          <w:p w:rsidR="00857322" w:rsidRDefault="00422A89" w:rsidP="00857322">
            <w:pPr>
              <w:rPr>
                <w:rFonts w:ascii="Arial" w:hAnsi="Arial"/>
                <w:b/>
                <w:bCs/>
                <w:noProof w:val="0"/>
                <w:sz w:val="26"/>
                <w:szCs w:val="26"/>
                <w:rtl/>
              </w:rPr>
            </w:pPr>
            <w:sdt>
              <w:sdtPr>
                <w:rPr>
                  <w:rtl/>
                </w:rPr>
                <w:alias w:val="1462"/>
                <w:tag w:val="1462"/>
                <w:id w:val="-236406021"/>
                <w:text w:multiLine="1"/>
              </w:sdtPr>
              <w:sdtEndPr/>
              <w:sdtContent>
                <w:r w:rsidR="00CC29C2">
                  <w:rPr>
                    <w:rFonts w:ascii="Arial" w:hAnsi="Arial"/>
                    <w:b/>
                    <w:bCs/>
                    <w:noProof w:val="0"/>
                    <w:sz w:val="26"/>
                    <w:szCs w:val="26"/>
                    <w:rtl/>
                  </w:rPr>
                  <w:t>1</w:t>
                </w:r>
              </w:sdtContent>
            </w:sdt>
            <w:r w:rsidR="00011212">
              <w:rPr>
                <w:b/>
                <w:bCs/>
                <w:noProof w:val="0"/>
                <w:sz w:val="26"/>
                <w:szCs w:val="26"/>
                <w:rtl/>
              </w:rPr>
              <w:t>.</w:t>
            </w:r>
            <w:r w:rsidR="00857322">
              <w:rPr>
                <w:rFonts w:ascii="Arial" w:hAnsi="Arial" w:hint="cs"/>
                <w:b/>
                <w:bCs/>
                <w:noProof w:val="0"/>
                <w:sz w:val="26"/>
                <w:szCs w:val="26"/>
                <w:rtl/>
              </w:rPr>
              <w:t>פלונית</w:t>
            </w:r>
          </w:p>
          <w:p w:rsidR="002914D6" w:rsidRDefault="00422A89" w:rsidP="00857322">
            <w:pPr>
              <w:rPr>
                <w:b/>
                <w:bCs/>
                <w:noProof w:val="0"/>
                <w:sz w:val="26"/>
                <w:szCs w:val="26"/>
              </w:rPr>
            </w:pPr>
            <w:sdt>
              <w:sdtPr>
                <w:rPr>
                  <w:rtl/>
                </w:rPr>
                <w:alias w:val="2316"/>
                <w:tag w:val="2316"/>
                <w:id w:val="-119842878"/>
                <w:text w:multiLine="1"/>
              </w:sdtPr>
              <w:sdtEndPr/>
              <w:sdtContent>
                <w:r w:rsidR="007221B9">
                  <w:rPr>
                    <w:rFonts w:hint="cs"/>
                    <w:rtl/>
                  </w:rPr>
                  <w:t>על ידי ב"כ עו"ד אורי קורב ו/או עו"ד אסף בנמלך</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422A89">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משיבים</w:t>
                </w:r>
              </w:sdtContent>
            </w:sdt>
          </w:p>
        </w:tc>
        <w:tc>
          <w:tcPr>
            <w:tcW w:w="5571" w:type="dxa"/>
          </w:tcPr>
          <w:p w:rsidR="002914D6" w:rsidRDefault="002914D6">
            <w:pPr>
              <w:rPr>
                <w:rFonts w:ascii="Arial" w:hAnsi="Arial"/>
                <w:b/>
                <w:bCs/>
                <w:noProof w:val="0"/>
                <w:sz w:val="26"/>
                <w:szCs w:val="26"/>
                <w:rtl/>
              </w:rPr>
            </w:pPr>
          </w:p>
          <w:p w:rsidR="002914D6" w:rsidRDefault="00422A89" w:rsidP="00857322">
            <w:pPr>
              <w:rPr>
                <w:b/>
                <w:bCs/>
                <w:noProof w:val="0"/>
                <w:sz w:val="26"/>
                <w:szCs w:val="26"/>
                <w:rtl/>
              </w:rPr>
            </w:pPr>
            <w:sdt>
              <w:sdtPr>
                <w:rPr>
                  <w:rtl/>
                </w:rPr>
                <w:alias w:val="1571"/>
                <w:tag w:val="1571"/>
                <w:id w:val="-1568568949"/>
                <w:text w:multiLine="1"/>
              </w:sdtPr>
              <w:sdtEndPr/>
              <w:sdtContent>
                <w:r w:rsidR="007221B9">
                  <w:rPr>
                    <w:rFonts w:ascii="Arial" w:hAnsi="Arial" w:hint="cs"/>
                    <w:b/>
                    <w:bCs/>
                    <w:noProof w:val="0"/>
                    <w:sz w:val="26"/>
                    <w:szCs w:val="26"/>
                    <w:rtl/>
                  </w:rPr>
                  <w:t>1</w:t>
                </w:r>
              </w:sdtContent>
            </w:sdt>
            <w:r w:rsidR="00011212">
              <w:rPr>
                <w:rFonts w:ascii="Arial" w:hAnsi="Arial"/>
                <w:b/>
                <w:bCs/>
                <w:noProof w:val="0"/>
                <w:sz w:val="26"/>
                <w:szCs w:val="26"/>
                <w:rtl/>
              </w:rPr>
              <w:t xml:space="preserve">. </w:t>
            </w:r>
            <w:sdt>
              <w:sdtPr>
                <w:rPr>
                  <w:b/>
                  <w:bCs/>
                  <w:rtl/>
                </w:rPr>
                <w:alias w:val="1486"/>
                <w:tag w:val="1486"/>
                <w:id w:val="-16785968"/>
                <w:text w:multiLine="1"/>
              </w:sdtPr>
              <w:sdtEndPr/>
              <w:sdtContent>
                <w:r w:rsidR="00857322" w:rsidRPr="00857322">
                  <w:rPr>
                    <w:rFonts w:hint="cs"/>
                    <w:b/>
                    <w:bCs/>
                    <w:rtl/>
                  </w:rPr>
                  <w:t>האב</w:t>
                </w:r>
              </w:sdtContent>
            </w:sdt>
            <w:r w:rsidR="00857322">
              <w:rPr>
                <w:rFonts w:hint="cs"/>
                <w:rtl/>
              </w:rPr>
              <w:t xml:space="preserve"> </w:t>
            </w:r>
          </w:p>
          <w:p w:rsidR="00857322" w:rsidRDefault="00422A89" w:rsidP="00857322">
            <w:pPr>
              <w:rPr>
                <w:rFonts w:ascii="Arial" w:hAnsi="Arial"/>
                <w:b/>
                <w:bCs/>
                <w:noProof w:val="0"/>
                <w:sz w:val="26"/>
                <w:szCs w:val="26"/>
                <w:rtl/>
              </w:rPr>
            </w:pPr>
            <w:sdt>
              <w:sdtPr>
                <w:rPr>
                  <w:rtl/>
                </w:rPr>
                <w:alias w:val="1571"/>
                <w:tag w:val="1571"/>
                <w:id w:val="-2065327415"/>
                <w:text w:multiLine="1"/>
              </w:sdtPr>
              <w:sdtEndPr/>
              <w:sdtContent>
                <w:r w:rsidR="007221B9">
                  <w:rPr>
                    <w:rFonts w:ascii="Arial" w:hAnsi="Arial" w:hint="cs"/>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1795550547"/>
                <w:text w:multiLine="1"/>
              </w:sdtPr>
              <w:sdtEndPr/>
              <w:sdtContent>
                <w:r w:rsidR="00857322">
                  <w:rPr>
                    <w:rFonts w:ascii="Arial" w:hAnsi="Arial" w:hint="cs"/>
                    <w:b/>
                    <w:bCs/>
                    <w:noProof w:val="0"/>
                    <w:sz w:val="26"/>
                    <w:szCs w:val="26"/>
                    <w:rtl/>
                  </w:rPr>
                  <w:t>האם</w:t>
                </w:r>
              </w:sdtContent>
            </w:sdt>
            <w:r w:rsidR="00857322">
              <w:rPr>
                <w:rFonts w:ascii="Arial" w:hAnsi="Arial" w:hint="cs"/>
                <w:b/>
                <w:bCs/>
                <w:noProof w:val="0"/>
                <w:sz w:val="26"/>
                <w:szCs w:val="26"/>
                <w:rtl/>
              </w:rPr>
              <w:t xml:space="preserve"> </w:t>
            </w:r>
          </w:p>
          <w:p w:rsidR="002914D6" w:rsidRDefault="00422A89" w:rsidP="00857322">
            <w:pPr>
              <w:rPr>
                <w:b/>
                <w:bCs/>
                <w:rtl/>
              </w:rPr>
            </w:pPr>
            <w:sdt>
              <w:sdtPr>
                <w:rPr>
                  <w:b/>
                  <w:bCs/>
                  <w:rtl/>
                </w:rPr>
                <w:alias w:val="2318"/>
                <w:tag w:val="2318"/>
                <w:id w:val="1411737995"/>
                <w:text w:multiLine="1"/>
              </w:sdtPr>
              <w:sdtEndPr/>
              <w:sdtContent>
                <w:r w:rsidR="007221B9" w:rsidRPr="007221B9">
                  <w:rPr>
                    <w:rFonts w:hint="cs"/>
                    <w:b/>
                    <w:bCs/>
                    <w:rtl/>
                  </w:rPr>
                  <w:t xml:space="preserve">3. </w:t>
                </w:r>
                <w:r w:rsidR="007221B9" w:rsidRPr="007221B9">
                  <w:rPr>
                    <w:b/>
                    <w:bCs/>
                    <w:rtl/>
                  </w:rPr>
                  <w:t>משרד הרווחה - לשכה משפטית ירושלים משרדי ממשלה 570001538</w:t>
                </w:r>
              </w:sdtContent>
            </w:sdt>
            <w:r w:rsidR="007221B9">
              <w:rPr>
                <w:rFonts w:hint="cs"/>
                <w:b/>
                <w:bCs/>
                <w:rtl/>
              </w:rPr>
              <w:t xml:space="preserve"> </w:t>
            </w:r>
          </w:p>
          <w:p w:rsidR="007221B9" w:rsidRPr="007221B9" w:rsidRDefault="007221B9" w:rsidP="007221B9">
            <w:pPr>
              <w:rPr>
                <w:noProof w:val="0"/>
                <w:sz w:val="26"/>
                <w:szCs w:val="26"/>
                <w:rtl/>
              </w:rPr>
            </w:pPr>
            <w:r w:rsidRPr="007221B9">
              <w:rPr>
                <w:rFonts w:hint="cs"/>
                <w:rtl/>
              </w:rPr>
              <w:t>המשיב 3 על ידי עו"ד סמדר טובי</w:t>
            </w:r>
          </w:p>
        </w:tc>
      </w:tr>
      <w:tr w:rsidR="00DA714E" w:rsidTr="00020144">
        <w:tc>
          <w:tcPr>
            <w:tcW w:w="8820" w:type="dxa"/>
            <w:gridSpan w:val="3"/>
          </w:tcPr>
          <w:p w:rsidR="00311B3D" w:rsidRDefault="00311B3D">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7221B9" w:rsidRDefault="007221B9" w:rsidP="007221B9">
      <w:pPr>
        <w:spacing w:line="360" w:lineRule="auto"/>
        <w:jc w:val="both"/>
        <w:rPr>
          <w:rFonts w:ascii="David" w:hAnsi="David"/>
          <w:noProof w:val="0"/>
        </w:rPr>
      </w:pPr>
    </w:p>
    <w:p w:rsidR="007221B9" w:rsidRPr="007221B9" w:rsidRDefault="007221B9" w:rsidP="00857322">
      <w:pPr>
        <w:pStyle w:val="af"/>
        <w:numPr>
          <w:ilvl w:val="0"/>
          <w:numId w:val="1"/>
        </w:numPr>
        <w:spacing w:line="360" w:lineRule="auto"/>
        <w:jc w:val="both"/>
        <w:rPr>
          <w:rFonts w:ascii="David" w:hAnsi="David" w:cs="David"/>
          <w:sz w:val="24"/>
          <w:szCs w:val="24"/>
          <w:rtl/>
        </w:rPr>
      </w:pPr>
      <w:r>
        <w:rPr>
          <w:rFonts w:ascii="David" w:hAnsi="David" w:cs="David"/>
          <w:sz w:val="24"/>
          <w:szCs w:val="24"/>
          <w:rtl/>
        </w:rPr>
        <w:t>לפני הליך שנפתח ביום 19.11.24 בבקשה שהגישה המבקשת, בגירה, להורות על מינוי אפוטרופוס לדין לארבע אחיותיה הקטינות, כדי שיביא קולן ויציג טובתן בפני בית המשפט דנן. זאת, בשל כך שניתן פסק דין על ידי בית משפט מוסמך ב</w:t>
      </w:r>
      <w:r w:rsidR="00857322">
        <w:rPr>
          <w:rFonts w:ascii="David" w:hAnsi="David" w:cs="David" w:hint="cs"/>
          <w:sz w:val="24"/>
          <w:szCs w:val="24"/>
          <w:rtl/>
        </w:rPr>
        <w:t>...</w:t>
      </w:r>
      <w:r>
        <w:rPr>
          <w:rFonts w:ascii="David" w:hAnsi="David" w:cs="David"/>
          <w:sz w:val="24"/>
          <w:szCs w:val="24"/>
          <w:rtl/>
        </w:rPr>
        <w:t xml:space="preserve"> ארה"ב המורה על העברת המשמורת על הקטינות לידי האב, המשיב 1 (להלן: </w:t>
      </w:r>
      <w:r>
        <w:rPr>
          <w:rFonts w:ascii="David" w:hAnsi="David" w:cs="David"/>
          <w:b/>
          <w:bCs/>
          <w:sz w:val="24"/>
          <w:szCs w:val="24"/>
          <w:rtl/>
        </w:rPr>
        <w:t>האב</w:t>
      </w:r>
      <w:r>
        <w:rPr>
          <w:rFonts w:ascii="David" w:hAnsi="David" w:cs="David"/>
          <w:sz w:val="24"/>
          <w:szCs w:val="24"/>
          <w:rtl/>
        </w:rPr>
        <w:t xml:space="preserve">). המבקשת מעלה טענות נגד פסק </w:t>
      </w:r>
      <w:r>
        <w:rPr>
          <w:rFonts w:ascii="David" w:hAnsi="David" w:cs="David" w:hint="cs"/>
          <w:sz w:val="24"/>
          <w:szCs w:val="24"/>
          <w:rtl/>
        </w:rPr>
        <w:t>החוץ,</w:t>
      </w:r>
      <w:r>
        <w:rPr>
          <w:rFonts w:ascii="David" w:hAnsi="David" w:cs="David"/>
          <w:sz w:val="24"/>
          <w:szCs w:val="24"/>
          <w:rtl/>
        </w:rPr>
        <w:t xml:space="preserve"> וטוענת כי העברת הקטינות, שגרות בישראל עם אמן, המשיבה 2 (להלן: </w:t>
      </w:r>
      <w:r>
        <w:rPr>
          <w:rFonts w:ascii="David" w:hAnsi="David" w:cs="David"/>
          <w:b/>
          <w:bCs/>
          <w:sz w:val="24"/>
          <w:szCs w:val="24"/>
          <w:rtl/>
        </w:rPr>
        <w:t>האם</w:t>
      </w:r>
      <w:r>
        <w:rPr>
          <w:rFonts w:ascii="David" w:hAnsi="David" w:cs="David"/>
          <w:sz w:val="24"/>
          <w:szCs w:val="24"/>
          <w:rtl/>
        </w:rPr>
        <w:t xml:space="preserve">), עומדת בניגוד לרצונן ולטובתן. על פסק הדין תלוי ועומד ערעור בבית המשפט המוסמך בארה"ב. </w:t>
      </w:r>
      <w:r w:rsidRPr="007221B9">
        <w:rPr>
          <w:rFonts w:ascii="David" w:hAnsi="David" w:cs="David"/>
          <w:sz w:val="24"/>
          <w:szCs w:val="24"/>
          <w:rtl/>
        </w:rPr>
        <w:t xml:space="preserve">כן הוגשה ביום 19.11.24 במסגרת ההליך בקשת המבקשת למתן צו עיכוב יציאה מהארץ נגד האם, וזאת במטרה למנוע את נסיעת הקטינות לארה"ב בנסיבות הנטענות. שתי הבקשות הוגדרו כבהולות ביותר, וזאת בהינתן שבקשה לעיכוב ביצוע הפסק הזר נדחתה, ויש לבצע את העברת המשמורת לאב בארה"ב בימים אלה ממש, וככל הנראה עוד היום. יצוין עוד כי ביום 20.11.24 הוגשה בקשה </w:t>
      </w:r>
      <w:r>
        <w:rPr>
          <w:rFonts w:ascii="David" w:hAnsi="David" w:cs="David" w:hint="cs"/>
          <w:sz w:val="24"/>
          <w:szCs w:val="24"/>
          <w:rtl/>
        </w:rPr>
        <w:t xml:space="preserve">נוספת, והפעם </w:t>
      </w:r>
      <w:r w:rsidRPr="007221B9">
        <w:rPr>
          <w:rFonts w:ascii="David" w:hAnsi="David" w:cs="David"/>
          <w:sz w:val="24"/>
          <w:szCs w:val="24"/>
          <w:rtl/>
        </w:rPr>
        <w:t>לשמיעת הקטינות על ידי בית המשפט</w:t>
      </w:r>
      <w:r>
        <w:rPr>
          <w:rFonts w:ascii="David" w:hAnsi="David" w:cs="David" w:hint="cs"/>
          <w:sz w:val="24"/>
          <w:szCs w:val="24"/>
          <w:rtl/>
        </w:rPr>
        <w:t xml:space="preserve"> באופן בלתי אמצעי</w:t>
      </w:r>
      <w:r w:rsidRPr="007221B9">
        <w:rPr>
          <w:rFonts w:ascii="David" w:hAnsi="David" w:cs="David"/>
          <w:sz w:val="24"/>
          <w:szCs w:val="24"/>
          <w:rtl/>
        </w:rPr>
        <w:t>.</w:t>
      </w:r>
    </w:p>
    <w:p w:rsidR="007221B9" w:rsidRPr="000129E8" w:rsidRDefault="007221B9" w:rsidP="007221B9">
      <w:pPr>
        <w:rPr>
          <w:rFonts w:ascii="David" w:hAnsi="David"/>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בהחלטתי מיום 19.11.24 הורתי על צירוף ב"כ היועמ"ש ברווחה כמשיב נוסף ועל הגשת תגובתו ותגובות ההורים לבקשה</w:t>
      </w:r>
      <w:r w:rsidR="000129E8">
        <w:rPr>
          <w:rFonts w:ascii="David" w:hAnsi="David" w:cs="David" w:hint="cs"/>
          <w:sz w:val="24"/>
          <w:szCs w:val="24"/>
          <w:rtl/>
        </w:rPr>
        <w:t xml:space="preserve"> לצו עיכוב יציאה מהארץ נגד האם</w:t>
      </w:r>
      <w:r>
        <w:rPr>
          <w:rFonts w:ascii="David" w:hAnsi="David" w:cs="David"/>
          <w:sz w:val="24"/>
          <w:szCs w:val="24"/>
          <w:rtl/>
        </w:rPr>
        <w:t xml:space="preserve">. </w:t>
      </w:r>
    </w:p>
    <w:p w:rsidR="007221B9" w:rsidRDefault="007221B9" w:rsidP="007221B9">
      <w:pPr>
        <w:pStyle w:val="af"/>
        <w:rPr>
          <w:rFonts w:ascii="David" w:hAnsi="David" w:cs="David"/>
          <w:sz w:val="24"/>
          <w:szCs w:val="24"/>
        </w:rPr>
      </w:pPr>
    </w:p>
    <w:p w:rsidR="007221B9" w:rsidRDefault="007221B9" w:rsidP="000129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בעניין ההליך העיקרי, למינוי אפוטרופוס לדין לקטינות, לא ניתנו הנחיות להגשת תגובה, אלא ניתנה החלטה ראשונית מיום 19.11.24, שבה צויין כי הבקשה מעוררת קשיים על פניה. </w:t>
      </w:r>
      <w:r>
        <w:rPr>
          <w:rFonts w:ascii="David" w:hAnsi="David" w:cs="David"/>
          <w:sz w:val="24"/>
          <w:szCs w:val="24"/>
          <w:rtl/>
        </w:rPr>
        <w:lastRenderedPageBreak/>
        <w:t>זאת, בהינתן שמדובר בבקשה של אחות הקטינות, ולא של מי מההורים, שהם האפוטרופסים הטבעיים של הקטינות, ולכאורה, למי מאחיהן, אין מעמד להגיש את ההליך. הוספתי וציינתי, כי מעבר לכך, וכפי שצויין בבקשה, ניתן פסק דין על ידי בית משפט מוסמך בארה"ב, שהורה על העברת הקטינות למשמורת האב שגר בארה"ב, ואף נדחתה בקשה לעיכוב ביצוע של פסק הדין, ולא ברור לפיכך הנ</w:t>
      </w:r>
      <w:r w:rsidR="000129E8">
        <w:rPr>
          <w:rFonts w:ascii="David" w:hAnsi="David" w:cs="David" w:hint="cs"/>
          <w:sz w:val="24"/>
          <w:szCs w:val="24"/>
          <w:rtl/>
        </w:rPr>
        <w:t>י</w:t>
      </w:r>
      <w:r w:rsidR="0026335F">
        <w:rPr>
          <w:rFonts w:ascii="David" w:hAnsi="David" w:cs="David"/>
          <w:sz w:val="24"/>
          <w:szCs w:val="24"/>
          <w:rtl/>
        </w:rPr>
        <w:t xml:space="preserve">סיון לשנות את אשר נקבע </w:t>
      </w:r>
      <w:r w:rsidR="0026335F">
        <w:rPr>
          <w:rFonts w:ascii="David" w:hAnsi="David" w:cs="David" w:hint="cs"/>
          <w:sz w:val="24"/>
          <w:szCs w:val="24"/>
          <w:rtl/>
        </w:rPr>
        <w:t>בהם</w:t>
      </w:r>
      <w:r>
        <w:rPr>
          <w:rFonts w:ascii="David" w:hAnsi="David" w:cs="David"/>
          <w:sz w:val="24"/>
          <w:szCs w:val="24"/>
          <w:rtl/>
        </w:rPr>
        <w:t xml:space="preserve"> באמצעות הליך בארץ, שהרי בית המשפט דנן אינו ערכאת ערעור על פסק דין של </w:t>
      </w:r>
      <w:r w:rsidR="000129E8">
        <w:rPr>
          <w:rFonts w:ascii="David" w:hAnsi="David" w:cs="David" w:hint="cs"/>
          <w:sz w:val="24"/>
          <w:szCs w:val="24"/>
          <w:rtl/>
        </w:rPr>
        <w:t>הפורום הזר</w:t>
      </w:r>
      <w:r>
        <w:rPr>
          <w:rFonts w:ascii="David" w:hAnsi="David" w:cs="David"/>
          <w:sz w:val="24"/>
          <w:szCs w:val="24"/>
          <w:rtl/>
        </w:rPr>
        <w:t xml:space="preserve">, ומקומן של </w:t>
      </w:r>
      <w:r w:rsidR="0026335F">
        <w:rPr>
          <w:rFonts w:ascii="David" w:hAnsi="David" w:cs="David" w:hint="cs"/>
          <w:sz w:val="24"/>
          <w:szCs w:val="24"/>
          <w:rtl/>
        </w:rPr>
        <w:t>ה</w:t>
      </w:r>
      <w:r>
        <w:rPr>
          <w:rFonts w:ascii="David" w:hAnsi="David" w:cs="David"/>
          <w:sz w:val="24"/>
          <w:szCs w:val="24"/>
          <w:rtl/>
        </w:rPr>
        <w:t>טענות נגד פסק הדין וביצועו</w:t>
      </w:r>
      <w:r w:rsidR="000129E8">
        <w:rPr>
          <w:rFonts w:ascii="David" w:hAnsi="David" w:cs="David"/>
          <w:sz w:val="24"/>
          <w:szCs w:val="24"/>
          <w:rtl/>
        </w:rPr>
        <w:t xml:space="preserve"> הוא בבית המשפט לערעור בארה"ב. </w:t>
      </w:r>
      <w:r>
        <w:rPr>
          <w:rFonts w:ascii="David" w:hAnsi="David" w:cs="David"/>
          <w:sz w:val="24"/>
          <w:szCs w:val="24"/>
          <w:rtl/>
        </w:rPr>
        <w:t>בנוסף הערתי כי מינוי אפוטרופוס לדין נעשה אד ה</w:t>
      </w:r>
      <w:r w:rsidR="000129E8">
        <w:rPr>
          <w:rFonts w:ascii="David" w:hAnsi="David" w:cs="David"/>
          <w:sz w:val="24"/>
          <w:szCs w:val="24"/>
          <w:rtl/>
        </w:rPr>
        <w:t>וק לצורך יצוג קטין בהליך מתקיים</w:t>
      </w:r>
      <w:r w:rsidR="000129E8">
        <w:rPr>
          <w:rFonts w:ascii="David" w:hAnsi="David" w:cs="David" w:hint="cs"/>
          <w:sz w:val="24"/>
          <w:szCs w:val="24"/>
          <w:rtl/>
        </w:rPr>
        <w:t>,</w:t>
      </w:r>
      <w:r>
        <w:rPr>
          <w:rFonts w:ascii="David" w:hAnsi="David" w:cs="David"/>
          <w:sz w:val="24"/>
          <w:szCs w:val="24"/>
          <w:rtl/>
        </w:rPr>
        <w:t xml:space="preserve"> </w:t>
      </w:r>
      <w:r w:rsidR="000129E8">
        <w:rPr>
          <w:rFonts w:ascii="David" w:hAnsi="David" w:cs="David" w:hint="cs"/>
          <w:sz w:val="24"/>
          <w:szCs w:val="24"/>
          <w:rtl/>
        </w:rPr>
        <w:t>ו</w:t>
      </w:r>
      <w:r>
        <w:rPr>
          <w:rFonts w:ascii="David" w:hAnsi="David" w:cs="David"/>
          <w:sz w:val="24"/>
          <w:szCs w:val="24"/>
          <w:rtl/>
        </w:rPr>
        <w:t>לא ברור הליך שכל כולו בקשה למינוי אפוטרופוס לדין. לנוכח קשיים אלה, התבקשה הבהרת המבקשת מדוע לא ימחק ההליך.</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בכל הנוגע לבקשה לשמיעת הקטינות, ניתנה ביום 20.11.24 החלטה שבה קבעתי כי איני רואה לה</w:t>
      </w:r>
      <w:r w:rsidR="0026335F">
        <w:rPr>
          <w:rFonts w:ascii="David" w:hAnsi="David" w:cs="David" w:hint="cs"/>
          <w:sz w:val="24"/>
          <w:szCs w:val="24"/>
          <w:rtl/>
        </w:rPr>
        <w:t>י</w:t>
      </w:r>
      <w:r>
        <w:rPr>
          <w:rFonts w:ascii="David" w:hAnsi="David" w:cs="David"/>
          <w:sz w:val="24"/>
          <w:szCs w:val="24"/>
          <w:rtl/>
        </w:rPr>
        <w:t>דרש לה בטרם תוגש הבהרת האם שנדרשה ביחס להליך העיקרי.</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משהוגשו תגובות לבקשה לעיכוב יציאתה מהארץ של האם והוגשו הבהרות המבקשת ביחס להליך העיקרי, ניתנת ההחלטה דנן בשלוש הבקשות גם יחד.</w:t>
      </w:r>
    </w:p>
    <w:p w:rsidR="000129E8" w:rsidRPr="000129E8" w:rsidRDefault="000129E8" w:rsidP="000129E8">
      <w:pPr>
        <w:pStyle w:val="af"/>
        <w:rPr>
          <w:rFonts w:ascii="David" w:hAnsi="David" w:cs="David"/>
          <w:sz w:val="24"/>
          <w:szCs w:val="24"/>
          <w:rtl/>
        </w:rPr>
      </w:pPr>
    </w:p>
    <w:p w:rsidR="000129E8" w:rsidRDefault="000129E8" w:rsidP="000129E8">
      <w:pPr>
        <w:pStyle w:val="af"/>
        <w:numPr>
          <w:ilvl w:val="0"/>
          <w:numId w:val="1"/>
        </w:numPr>
        <w:spacing w:line="360" w:lineRule="auto"/>
        <w:jc w:val="both"/>
        <w:rPr>
          <w:rFonts w:ascii="David" w:hAnsi="David" w:cs="David"/>
          <w:sz w:val="24"/>
          <w:szCs w:val="24"/>
        </w:rPr>
      </w:pPr>
      <w:r>
        <w:rPr>
          <w:rFonts w:ascii="David" w:hAnsi="David" w:cs="David" w:hint="cs"/>
          <w:sz w:val="24"/>
          <w:szCs w:val="24"/>
          <w:rtl/>
        </w:rPr>
        <w:t xml:space="preserve">שתי </w:t>
      </w:r>
      <w:r>
        <w:rPr>
          <w:rFonts w:ascii="David" w:hAnsi="David" w:cs="David"/>
          <w:sz w:val="24"/>
          <w:szCs w:val="24"/>
          <w:rtl/>
        </w:rPr>
        <w:t xml:space="preserve">השאלות </w:t>
      </w:r>
      <w:r>
        <w:rPr>
          <w:rFonts w:ascii="David" w:hAnsi="David" w:cs="David" w:hint="cs"/>
          <w:sz w:val="24"/>
          <w:szCs w:val="24"/>
          <w:rtl/>
        </w:rPr>
        <w:t>העיקריות שנדרשות להכרעה</w:t>
      </w:r>
      <w:r>
        <w:rPr>
          <w:rFonts w:ascii="David" w:hAnsi="David" w:cs="David"/>
          <w:sz w:val="24"/>
          <w:szCs w:val="24"/>
          <w:rtl/>
        </w:rPr>
        <w:t xml:space="preserve"> הן </w:t>
      </w:r>
      <w:r>
        <w:rPr>
          <w:rFonts w:ascii="David" w:hAnsi="David" w:cs="David" w:hint="cs"/>
          <w:sz w:val="24"/>
          <w:szCs w:val="24"/>
          <w:rtl/>
        </w:rPr>
        <w:t xml:space="preserve">אלו: </w:t>
      </w:r>
      <w:r w:rsidRPr="000129E8">
        <w:rPr>
          <w:rFonts w:ascii="David" w:hAnsi="David" w:cs="David" w:hint="cs"/>
          <w:sz w:val="24"/>
          <w:szCs w:val="24"/>
          <w:u w:val="single"/>
          <w:rtl/>
        </w:rPr>
        <w:t>האחת</w:t>
      </w:r>
      <w:r>
        <w:rPr>
          <w:rFonts w:ascii="David" w:hAnsi="David" w:cs="David" w:hint="cs"/>
          <w:sz w:val="24"/>
          <w:szCs w:val="24"/>
          <w:rtl/>
        </w:rPr>
        <w:t xml:space="preserve">, </w:t>
      </w:r>
      <w:r>
        <w:rPr>
          <w:rFonts w:ascii="David" w:hAnsi="David" w:cs="David"/>
          <w:sz w:val="24"/>
          <w:szCs w:val="24"/>
          <w:rtl/>
        </w:rPr>
        <w:t>האם יש למבקשת</w:t>
      </w:r>
      <w:r>
        <w:rPr>
          <w:rFonts w:ascii="David" w:hAnsi="David" w:cs="David" w:hint="cs"/>
          <w:sz w:val="24"/>
          <w:szCs w:val="24"/>
          <w:rtl/>
        </w:rPr>
        <w:t>, אחותן של  הקטינות,</w:t>
      </w:r>
      <w:r>
        <w:rPr>
          <w:rFonts w:ascii="David" w:hAnsi="David" w:cs="David"/>
          <w:sz w:val="24"/>
          <w:szCs w:val="24"/>
          <w:rtl/>
        </w:rPr>
        <w:t xml:space="preserve"> מעמד בהגשת הבקשות דנן, בהינתן כי ההורים הם האפוטרופסים הטבעיים של הקטינות</w:t>
      </w:r>
      <w:r>
        <w:rPr>
          <w:rFonts w:ascii="David" w:hAnsi="David" w:cs="David" w:hint="cs"/>
          <w:sz w:val="24"/>
          <w:szCs w:val="24"/>
          <w:rtl/>
        </w:rPr>
        <w:t>;</w:t>
      </w:r>
      <w:r>
        <w:rPr>
          <w:rFonts w:ascii="David" w:hAnsi="David" w:cs="David"/>
          <w:sz w:val="24"/>
          <w:szCs w:val="24"/>
          <w:rtl/>
        </w:rPr>
        <w:t xml:space="preserve"> </w:t>
      </w:r>
      <w:r>
        <w:rPr>
          <w:rFonts w:ascii="David" w:hAnsi="David" w:cs="David" w:hint="cs"/>
          <w:sz w:val="24"/>
          <w:szCs w:val="24"/>
          <w:rtl/>
        </w:rPr>
        <w:t xml:space="preserve">השאלה </w:t>
      </w:r>
      <w:r w:rsidRPr="000129E8">
        <w:rPr>
          <w:rFonts w:ascii="David" w:hAnsi="David" w:cs="David" w:hint="cs"/>
          <w:sz w:val="24"/>
          <w:szCs w:val="24"/>
          <w:u w:val="single"/>
          <w:rtl/>
        </w:rPr>
        <w:t>השניה</w:t>
      </w:r>
      <w:r>
        <w:rPr>
          <w:rFonts w:ascii="David" w:hAnsi="David" w:cs="David" w:hint="cs"/>
          <w:sz w:val="24"/>
          <w:szCs w:val="24"/>
          <w:rtl/>
        </w:rPr>
        <w:t xml:space="preserve"> היא, </w:t>
      </w:r>
      <w:r>
        <w:rPr>
          <w:rFonts w:ascii="David" w:hAnsi="David" w:cs="David"/>
          <w:sz w:val="24"/>
          <w:szCs w:val="24"/>
          <w:rtl/>
        </w:rPr>
        <w:t>ככל ויש ל</w:t>
      </w:r>
      <w:r>
        <w:rPr>
          <w:rFonts w:ascii="David" w:hAnsi="David" w:cs="David" w:hint="cs"/>
          <w:sz w:val="24"/>
          <w:szCs w:val="24"/>
          <w:rtl/>
        </w:rPr>
        <w:t xml:space="preserve">מבקשת </w:t>
      </w:r>
      <w:r>
        <w:rPr>
          <w:rFonts w:ascii="David" w:hAnsi="David" w:cs="David"/>
          <w:sz w:val="24"/>
          <w:szCs w:val="24"/>
          <w:rtl/>
        </w:rPr>
        <w:t>מעמד, האם יש מקום לה</w:t>
      </w:r>
      <w:r w:rsidR="0026335F">
        <w:rPr>
          <w:rFonts w:ascii="David" w:hAnsi="David" w:cs="David" w:hint="cs"/>
          <w:sz w:val="24"/>
          <w:szCs w:val="24"/>
          <w:rtl/>
        </w:rPr>
        <w:t>י</w:t>
      </w:r>
      <w:r>
        <w:rPr>
          <w:rFonts w:ascii="David" w:hAnsi="David" w:cs="David"/>
          <w:sz w:val="24"/>
          <w:szCs w:val="24"/>
          <w:rtl/>
        </w:rPr>
        <w:t>עתר לאיזו מהבקשות, בהינתן פסק ה</w:t>
      </w:r>
      <w:r>
        <w:rPr>
          <w:rFonts w:ascii="David" w:hAnsi="David" w:cs="David" w:hint="cs"/>
          <w:sz w:val="24"/>
          <w:szCs w:val="24"/>
          <w:rtl/>
        </w:rPr>
        <w:t>חוץ</w:t>
      </w:r>
      <w:r>
        <w:rPr>
          <w:rFonts w:ascii="David" w:hAnsi="David" w:cs="David"/>
          <w:sz w:val="24"/>
          <w:szCs w:val="24"/>
          <w:rtl/>
        </w:rPr>
        <w:t>, אשר כאמור, ערעור עליו עדיין תלוי ועומד.</w:t>
      </w:r>
    </w:p>
    <w:p w:rsidR="000129E8" w:rsidRDefault="000129E8" w:rsidP="000129E8">
      <w:pPr>
        <w:pStyle w:val="af"/>
        <w:spacing w:line="360" w:lineRule="auto"/>
        <w:jc w:val="both"/>
        <w:rPr>
          <w:rFonts w:ascii="David" w:hAnsi="David" w:cs="David"/>
          <w:sz w:val="24"/>
          <w:szCs w:val="24"/>
          <w:rtl/>
        </w:rPr>
      </w:pPr>
    </w:p>
    <w:p w:rsidR="007221B9" w:rsidRDefault="007221B9" w:rsidP="007221B9">
      <w:pPr>
        <w:pStyle w:val="af"/>
        <w:spacing w:line="360" w:lineRule="auto"/>
        <w:jc w:val="both"/>
        <w:rPr>
          <w:rFonts w:ascii="David" w:hAnsi="David" w:cs="David"/>
          <w:sz w:val="24"/>
          <w:szCs w:val="24"/>
          <w:rtl/>
        </w:rPr>
      </w:pPr>
    </w:p>
    <w:p w:rsidR="007221B9" w:rsidRDefault="007221B9" w:rsidP="007221B9">
      <w:pPr>
        <w:pStyle w:val="af"/>
        <w:spacing w:line="360" w:lineRule="auto"/>
        <w:jc w:val="both"/>
        <w:rPr>
          <w:rFonts w:ascii="David" w:hAnsi="David" w:cs="David"/>
          <w:b/>
          <w:bCs/>
          <w:sz w:val="28"/>
          <w:szCs w:val="28"/>
          <w:u w:val="single"/>
          <w:rtl/>
        </w:rPr>
      </w:pPr>
      <w:r>
        <w:rPr>
          <w:rFonts w:ascii="David" w:hAnsi="David" w:cs="David"/>
          <w:b/>
          <w:bCs/>
          <w:sz w:val="28"/>
          <w:szCs w:val="28"/>
          <w:u w:val="single"/>
          <w:rtl/>
        </w:rPr>
        <w:t>רקע עובדתי על פי הנטען על ידי המבקשת</w:t>
      </w:r>
    </w:p>
    <w:p w:rsidR="007221B9" w:rsidRDefault="007221B9" w:rsidP="00857322">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הבקשות הוגשו בהתייחס ל-4 קטינות, אחיותיה של המבקשת ובנותיהם של המשיבים 1-2 כדלקמן: </w:t>
      </w:r>
      <w:r w:rsidR="00857322">
        <w:rPr>
          <w:rFonts w:ascii="David" w:hAnsi="David" w:cs="David" w:hint="cs"/>
          <w:sz w:val="24"/>
          <w:szCs w:val="24"/>
          <w:rtl/>
        </w:rPr>
        <w:t xml:space="preserve">... </w:t>
      </w:r>
      <w:r>
        <w:rPr>
          <w:rFonts w:ascii="David" w:hAnsi="David" w:cs="David"/>
          <w:sz w:val="24"/>
          <w:szCs w:val="24"/>
          <w:rtl/>
        </w:rPr>
        <w:t xml:space="preserve">ילידת </w:t>
      </w:r>
      <w:r w:rsidR="00857322">
        <w:rPr>
          <w:rFonts w:ascii="David" w:hAnsi="David" w:cs="David" w:hint="cs"/>
          <w:sz w:val="24"/>
          <w:szCs w:val="24"/>
          <w:rtl/>
        </w:rPr>
        <w:t>2007</w:t>
      </w:r>
      <w:r>
        <w:rPr>
          <w:rFonts w:ascii="David" w:hAnsi="David" w:cs="David"/>
          <w:sz w:val="24"/>
          <w:szCs w:val="24"/>
          <w:rtl/>
        </w:rPr>
        <w:t xml:space="preserve">, </w:t>
      </w:r>
      <w:r w:rsidR="00857322">
        <w:rPr>
          <w:rFonts w:ascii="David" w:hAnsi="David" w:cs="David" w:hint="cs"/>
          <w:sz w:val="24"/>
          <w:szCs w:val="24"/>
          <w:rtl/>
        </w:rPr>
        <w:t xml:space="preserve">... ילידת 2008, </w:t>
      </w:r>
      <w:r>
        <w:rPr>
          <w:rFonts w:ascii="David" w:hAnsi="David" w:cs="David"/>
          <w:sz w:val="24"/>
          <w:szCs w:val="24"/>
          <w:rtl/>
        </w:rPr>
        <w:t xml:space="preserve"> </w:t>
      </w:r>
      <w:r w:rsidR="00857322">
        <w:rPr>
          <w:rFonts w:ascii="David" w:hAnsi="David" w:cs="David" w:hint="cs"/>
          <w:sz w:val="24"/>
          <w:szCs w:val="24"/>
          <w:rtl/>
        </w:rPr>
        <w:t>...</w:t>
      </w:r>
      <w:r>
        <w:rPr>
          <w:rFonts w:ascii="David" w:hAnsi="David" w:cs="David"/>
          <w:sz w:val="24"/>
          <w:szCs w:val="24"/>
          <w:rtl/>
        </w:rPr>
        <w:t xml:space="preserve">, ילידת </w:t>
      </w:r>
      <w:r w:rsidR="00857322">
        <w:rPr>
          <w:rFonts w:ascii="David" w:hAnsi="David" w:cs="David" w:hint="cs"/>
          <w:sz w:val="24"/>
          <w:szCs w:val="24"/>
          <w:rtl/>
        </w:rPr>
        <w:t>2012</w:t>
      </w:r>
      <w:r>
        <w:rPr>
          <w:rFonts w:ascii="David" w:hAnsi="David" w:cs="David"/>
          <w:sz w:val="24"/>
          <w:szCs w:val="24"/>
          <w:rtl/>
        </w:rPr>
        <w:t>, ו</w:t>
      </w:r>
      <w:r w:rsidR="00857322">
        <w:rPr>
          <w:rFonts w:ascii="David" w:hAnsi="David" w:cs="David" w:hint="cs"/>
          <w:sz w:val="24"/>
          <w:szCs w:val="24"/>
          <w:rtl/>
        </w:rPr>
        <w:t>...</w:t>
      </w:r>
      <w:r w:rsidR="0026335F">
        <w:rPr>
          <w:rFonts w:ascii="David" w:hAnsi="David" w:cs="David" w:hint="cs"/>
          <w:sz w:val="24"/>
          <w:szCs w:val="24"/>
          <w:rtl/>
        </w:rPr>
        <w:t>ילידת</w:t>
      </w:r>
      <w:r w:rsidR="00857322">
        <w:rPr>
          <w:rFonts w:ascii="David" w:hAnsi="David" w:cs="David" w:hint="cs"/>
          <w:sz w:val="24"/>
          <w:szCs w:val="24"/>
          <w:rtl/>
        </w:rPr>
        <w:t xml:space="preserve"> 2016</w:t>
      </w:r>
      <w:r>
        <w:rPr>
          <w:rFonts w:ascii="David" w:hAnsi="David" w:cs="David"/>
          <w:sz w:val="24"/>
          <w:szCs w:val="24"/>
          <w:rtl/>
        </w:rPr>
        <w:t xml:space="preserve">. </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העובדות הנטענות בבקשות הן אלו:</w:t>
      </w:r>
    </w:p>
    <w:p w:rsidR="007221B9" w:rsidRDefault="007221B9" w:rsidP="007221B9">
      <w:pPr>
        <w:pStyle w:val="af"/>
        <w:spacing w:line="360" w:lineRule="auto"/>
        <w:jc w:val="both"/>
        <w:rPr>
          <w:rFonts w:ascii="David" w:hAnsi="David" w:cs="David"/>
          <w:sz w:val="24"/>
          <w:szCs w:val="24"/>
        </w:rPr>
      </w:pPr>
    </w:p>
    <w:p w:rsidR="007221B9" w:rsidRDefault="007221B9" w:rsidP="00857322">
      <w:pPr>
        <w:pStyle w:val="af"/>
        <w:numPr>
          <w:ilvl w:val="0"/>
          <w:numId w:val="2"/>
        </w:numPr>
        <w:spacing w:line="360" w:lineRule="auto"/>
        <w:jc w:val="both"/>
        <w:rPr>
          <w:rFonts w:ascii="David" w:hAnsi="David" w:cs="David"/>
          <w:sz w:val="24"/>
          <w:szCs w:val="24"/>
        </w:rPr>
      </w:pPr>
      <w:r>
        <w:rPr>
          <w:rFonts w:ascii="David" w:hAnsi="David" w:cs="David"/>
          <w:sz w:val="24"/>
          <w:szCs w:val="24"/>
          <w:rtl/>
        </w:rPr>
        <w:t>המשיבים 1-2 היו נשואים בעבר וכי הקטינות והמבקשת הן בנותיהם. למשיבים 1-2 בת נוספת, בגירה, המתגוררת ב</w:t>
      </w:r>
      <w:r w:rsidR="00857322">
        <w:rPr>
          <w:rFonts w:ascii="David" w:hAnsi="David" w:cs="David" w:hint="cs"/>
          <w:sz w:val="24"/>
          <w:szCs w:val="24"/>
          <w:rtl/>
        </w:rPr>
        <w:t>...</w:t>
      </w:r>
      <w:r>
        <w:rPr>
          <w:rFonts w:ascii="David" w:hAnsi="David" w:cs="David"/>
          <w:sz w:val="24"/>
          <w:szCs w:val="24"/>
          <w:rtl/>
        </w:rPr>
        <w:t xml:space="preserve"> לבדה.</w:t>
      </w:r>
    </w:p>
    <w:p w:rsidR="007221B9" w:rsidRDefault="007221B9" w:rsidP="007221B9">
      <w:pPr>
        <w:pStyle w:val="af"/>
        <w:spacing w:line="360" w:lineRule="auto"/>
        <w:ind w:left="1080"/>
        <w:jc w:val="both"/>
        <w:rPr>
          <w:rFonts w:ascii="David" w:hAnsi="David" w:cs="David"/>
          <w:sz w:val="24"/>
          <w:szCs w:val="24"/>
        </w:rPr>
      </w:pPr>
    </w:p>
    <w:p w:rsidR="007221B9" w:rsidRDefault="000129E8" w:rsidP="00857322">
      <w:pPr>
        <w:pStyle w:val="af"/>
        <w:numPr>
          <w:ilvl w:val="0"/>
          <w:numId w:val="2"/>
        </w:numPr>
        <w:spacing w:line="360" w:lineRule="auto"/>
        <w:jc w:val="both"/>
        <w:rPr>
          <w:rFonts w:ascii="David" w:hAnsi="David" w:cs="David"/>
          <w:sz w:val="24"/>
          <w:szCs w:val="24"/>
        </w:rPr>
      </w:pPr>
      <w:r>
        <w:rPr>
          <w:rFonts w:ascii="David" w:hAnsi="David" w:cs="David"/>
          <w:sz w:val="24"/>
          <w:szCs w:val="24"/>
          <w:rtl/>
        </w:rPr>
        <w:t xml:space="preserve">המשיבים 1-2 התגרשו בשנת </w:t>
      </w:r>
      <w:r w:rsidR="00857322">
        <w:rPr>
          <w:rFonts w:ascii="David" w:hAnsi="David" w:cs="David" w:hint="cs"/>
          <w:sz w:val="24"/>
          <w:szCs w:val="24"/>
          <w:rtl/>
        </w:rPr>
        <w:t>...</w:t>
      </w:r>
      <w:r>
        <w:rPr>
          <w:rFonts w:ascii="David" w:hAnsi="David" w:cs="David" w:hint="cs"/>
          <w:sz w:val="24"/>
          <w:szCs w:val="24"/>
          <w:rtl/>
        </w:rPr>
        <w:t>.</w:t>
      </w:r>
      <w:r>
        <w:rPr>
          <w:rFonts w:ascii="David" w:hAnsi="David" w:cs="David"/>
          <w:sz w:val="24"/>
          <w:szCs w:val="24"/>
          <w:rtl/>
        </w:rPr>
        <w:t xml:space="preserve"> </w:t>
      </w:r>
      <w:r w:rsidR="003D0D4E">
        <w:rPr>
          <w:rFonts w:ascii="David" w:hAnsi="David" w:cs="David" w:hint="cs"/>
          <w:sz w:val="24"/>
          <w:szCs w:val="24"/>
          <w:rtl/>
        </w:rPr>
        <w:t>ו</w:t>
      </w:r>
      <w:r w:rsidR="007221B9">
        <w:rPr>
          <w:rFonts w:ascii="David" w:hAnsi="David" w:cs="David"/>
          <w:sz w:val="24"/>
          <w:szCs w:val="24"/>
          <w:rtl/>
        </w:rPr>
        <w:t>בשנת 2017 ניתן פסק דין אזרחי לגירושיהם על ידי בית משפט מוסמך בארה"ב.</w:t>
      </w:r>
    </w:p>
    <w:p w:rsidR="007221B9" w:rsidRDefault="007221B9" w:rsidP="007221B9">
      <w:pPr>
        <w:pStyle w:val="af"/>
        <w:spacing w:line="360" w:lineRule="auto"/>
        <w:jc w:val="both"/>
        <w:rPr>
          <w:rFonts w:ascii="David" w:hAnsi="David" w:cs="David"/>
          <w:sz w:val="24"/>
          <w:szCs w:val="24"/>
        </w:rPr>
      </w:pPr>
    </w:p>
    <w:p w:rsidR="007221B9" w:rsidRDefault="007221B9" w:rsidP="003D0D4E">
      <w:pPr>
        <w:pStyle w:val="af"/>
        <w:numPr>
          <w:ilvl w:val="0"/>
          <w:numId w:val="2"/>
        </w:numPr>
        <w:spacing w:line="360" w:lineRule="auto"/>
        <w:jc w:val="both"/>
        <w:rPr>
          <w:rFonts w:ascii="David" w:hAnsi="David" w:cs="David"/>
          <w:sz w:val="24"/>
          <w:szCs w:val="24"/>
          <w:rtl/>
        </w:rPr>
      </w:pPr>
      <w:r>
        <w:rPr>
          <w:rFonts w:ascii="David" w:hAnsi="David" w:cs="David"/>
          <w:sz w:val="24"/>
          <w:szCs w:val="24"/>
          <w:rtl/>
        </w:rPr>
        <w:t>בשנת 2017, במסגרת הליכים משפטיים שהתקיימו בין המשי</w:t>
      </w:r>
      <w:r w:rsidR="00402E4C">
        <w:rPr>
          <w:rFonts w:ascii="David" w:hAnsi="David" w:cs="David"/>
          <w:sz w:val="24"/>
          <w:szCs w:val="24"/>
          <w:rtl/>
        </w:rPr>
        <w:t>בים 1-2 בבית המשפט המוסמך ב</w:t>
      </w:r>
      <w:r w:rsidR="00402E4C">
        <w:rPr>
          <w:rFonts w:ascii="David" w:hAnsi="David" w:cs="David" w:hint="cs"/>
          <w:sz w:val="24"/>
          <w:szCs w:val="24"/>
          <w:rtl/>
        </w:rPr>
        <w:t>...</w:t>
      </w:r>
      <w:r>
        <w:rPr>
          <w:rFonts w:ascii="David" w:hAnsi="David" w:cs="David"/>
          <w:sz w:val="24"/>
          <w:szCs w:val="24"/>
          <w:rtl/>
        </w:rPr>
        <w:t xml:space="preserve"> ביחס לקטינות, נקבע כי המשמורת על הקטינות תהיה בידי האם, תוך קיום זמני שהות עם האב, לרבות לינות. זאת, בהתבסס על דוח שהוגש על ידי אפוטרופוס לדין שמונה על ידי בית המשפט שם. בפועל, כך נטען, התקיימו זמני שהות עם האב ללא לינות בשל חששן של הקטינות מיחסו של האב כלפיהן ואירועי אלימות נטענים שאירעו כלפיהן. לימים, בשנת 2019, האב עבר לגור ב</w:t>
      </w:r>
      <w:r w:rsidR="00857322">
        <w:rPr>
          <w:rFonts w:ascii="David" w:hAnsi="David" w:cs="David" w:hint="cs"/>
          <w:sz w:val="24"/>
          <w:szCs w:val="24"/>
          <w:rtl/>
        </w:rPr>
        <w:t>-...</w:t>
      </w:r>
      <w:r>
        <w:rPr>
          <w:rFonts w:ascii="David" w:hAnsi="David" w:cs="David"/>
          <w:sz w:val="24"/>
          <w:szCs w:val="24"/>
          <w:rtl/>
        </w:rPr>
        <w:t xml:space="preserve"> וזמני השהות שלו עם הקטינות שונו ל-4 פעמים בשנה ללא לינה.</w:t>
      </w:r>
    </w:p>
    <w:p w:rsidR="007221B9" w:rsidRDefault="007221B9" w:rsidP="007221B9">
      <w:pPr>
        <w:pStyle w:val="af"/>
        <w:spacing w:line="360" w:lineRule="auto"/>
        <w:jc w:val="both"/>
        <w:rPr>
          <w:rFonts w:ascii="David" w:hAnsi="David" w:cs="David"/>
          <w:sz w:val="24"/>
          <w:szCs w:val="24"/>
        </w:rPr>
      </w:pPr>
    </w:p>
    <w:p w:rsidR="007221B9" w:rsidRDefault="007221B9" w:rsidP="00857322">
      <w:pPr>
        <w:pStyle w:val="af"/>
        <w:numPr>
          <w:ilvl w:val="0"/>
          <w:numId w:val="2"/>
        </w:numPr>
        <w:spacing w:line="360" w:lineRule="auto"/>
        <w:jc w:val="both"/>
        <w:rPr>
          <w:rFonts w:ascii="David" w:hAnsi="David" w:cs="David"/>
          <w:sz w:val="24"/>
          <w:szCs w:val="24"/>
          <w:rtl/>
        </w:rPr>
      </w:pPr>
      <w:r>
        <w:rPr>
          <w:rFonts w:ascii="David" w:hAnsi="David" w:cs="David"/>
          <w:sz w:val="24"/>
          <w:szCs w:val="24"/>
          <w:rtl/>
        </w:rPr>
        <w:t xml:space="preserve">בשנת </w:t>
      </w:r>
      <w:r w:rsidR="00857322">
        <w:rPr>
          <w:rFonts w:ascii="David" w:hAnsi="David" w:cs="David" w:hint="cs"/>
          <w:sz w:val="24"/>
          <w:szCs w:val="24"/>
          <w:rtl/>
        </w:rPr>
        <w:t>...</w:t>
      </w:r>
      <w:r>
        <w:rPr>
          <w:rFonts w:ascii="David" w:hAnsi="David" w:cs="David"/>
          <w:sz w:val="24"/>
          <w:szCs w:val="24"/>
          <w:rtl/>
        </w:rPr>
        <w:t xml:space="preserve"> האם עברה עם הקטינות לגור בישראל, בידיעתו של האב, ונישאה מחדש ונולד לה בן מנישואיה אלו. נטען כי היחסים בין הקטינות לאביהן החורג </w:t>
      </w:r>
      <w:r w:rsidR="000129E8">
        <w:rPr>
          <w:rFonts w:ascii="David" w:hAnsi="David" w:cs="David" w:hint="cs"/>
          <w:sz w:val="24"/>
          <w:szCs w:val="24"/>
          <w:rtl/>
        </w:rPr>
        <w:t xml:space="preserve">הם </w:t>
      </w:r>
      <w:r>
        <w:rPr>
          <w:rFonts w:ascii="David" w:hAnsi="David" w:cs="David"/>
          <w:sz w:val="24"/>
          <w:szCs w:val="24"/>
          <w:rtl/>
        </w:rPr>
        <w:t>מצוינים.</w:t>
      </w:r>
    </w:p>
    <w:p w:rsidR="007221B9" w:rsidRDefault="007221B9" w:rsidP="007221B9">
      <w:pPr>
        <w:pStyle w:val="af"/>
        <w:spacing w:line="360" w:lineRule="auto"/>
        <w:jc w:val="both"/>
        <w:rPr>
          <w:rFonts w:ascii="David" w:hAnsi="David" w:cs="David"/>
          <w:sz w:val="24"/>
          <w:szCs w:val="24"/>
        </w:rPr>
      </w:pPr>
    </w:p>
    <w:p w:rsidR="00A7114E" w:rsidRDefault="007221B9" w:rsidP="00857322">
      <w:pPr>
        <w:pStyle w:val="af"/>
        <w:numPr>
          <w:ilvl w:val="0"/>
          <w:numId w:val="2"/>
        </w:numPr>
        <w:spacing w:line="360" w:lineRule="auto"/>
        <w:jc w:val="both"/>
        <w:rPr>
          <w:rFonts w:ascii="David" w:hAnsi="David" w:cs="David"/>
          <w:sz w:val="24"/>
          <w:szCs w:val="24"/>
        </w:rPr>
      </w:pPr>
      <w:r>
        <w:rPr>
          <w:rFonts w:ascii="David" w:hAnsi="David" w:cs="David"/>
          <w:sz w:val="24"/>
          <w:szCs w:val="24"/>
          <w:rtl/>
        </w:rPr>
        <w:t xml:space="preserve">בשל מעבר האם לארץ עם הקטינות וטענות האב להעדר קשר בינו קטינות, האב הגיש </w:t>
      </w:r>
      <w:r w:rsidR="000129E8">
        <w:rPr>
          <w:rFonts w:ascii="David" w:hAnsi="David" w:cs="David" w:hint="cs"/>
          <w:sz w:val="24"/>
          <w:szCs w:val="24"/>
          <w:rtl/>
        </w:rPr>
        <w:t xml:space="preserve">הליך </w:t>
      </w:r>
      <w:r>
        <w:rPr>
          <w:rFonts w:ascii="David" w:hAnsi="David" w:cs="David"/>
          <w:sz w:val="24"/>
          <w:szCs w:val="24"/>
          <w:rtl/>
        </w:rPr>
        <w:t>לבית המשפ</w:t>
      </w:r>
      <w:r w:rsidR="000129E8">
        <w:rPr>
          <w:rFonts w:ascii="David" w:hAnsi="David" w:cs="David"/>
          <w:sz w:val="24"/>
          <w:szCs w:val="24"/>
          <w:rtl/>
        </w:rPr>
        <w:t>ט לענייני משפחה ב</w:t>
      </w:r>
      <w:r w:rsidR="00857322">
        <w:rPr>
          <w:rFonts w:ascii="David" w:hAnsi="David" w:cs="David" w:hint="cs"/>
          <w:sz w:val="24"/>
          <w:szCs w:val="24"/>
          <w:rtl/>
        </w:rPr>
        <w:t>...</w:t>
      </w:r>
      <w:r w:rsidR="000129E8">
        <w:rPr>
          <w:rFonts w:ascii="David" w:hAnsi="David" w:cs="David"/>
          <w:sz w:val="24"/>
          <w:szCs w:val="24"/>
          <w:rtl/>
        </w:rPr>
        <w:t xml:space="preserve"> ארה"ב שב</w:t>
      </w:r>
      <w:r w:rsidR="000129E8">
        <w:rPr>
          <w:rFonts w:ascii="David" w:hAnsi="David" w:cs="David" w:hint="cs"/>
          <w:sz w:val="24"/>
          <w:szCs w:val="24"/>
          <w:rtl/>
        </w:rPr>
        <w:t>ו</w:t>
      </w:r>
      <w:r>
        <w:rPr>
          <w:rFonts w:ascii="David" w:hAnsi="David" w:cs="David"/>
          <w:sz w:val="24"/>
          <w:szCs w:val="24"/>
          <w:rtl/>
        </w:rPr>
        <w:t xml:space="preserve"> עתר לקבל משמורת על שתי הקטינות הקטנות, </w:t>
      </w:r>
      <w:r w:rsidR="00857322">
        <w:rPr>
          <w:rFonts w:ascii="David" w:hAnsi="David" w:cs="David" w:hint="cs"/>
          <w:sz w:val="24"/>
          <w:szCs w:val="24"/>
          <w:rtl/>
        </w:rPr>
        <w:t>... ....</w:t>
      </w:r>
      <w:r>
        <w:rPr>
          <w:rFonts w:ascii="David" w:hAnsi="David" w:cs="David"/>
          <w:sz w:val="24"/>
          <w:szCs w:val="24"/>
          <w:rtl/>
        </w:rPr>
        <w:t xml:space="preserve"> (בנות 12.5 ו-8.5 בהתאמה). בית המשפט מינה אפוטרופוס לדין לקטינות, וזה בעמדתו טען כי האם לא דאגה כראוי לבריאות הקטינות וחינוכן ותרמה לניכור הורי כלפי האב והמליץ על חזרת האם לארה"ב וקביעת משמורת משותפת. </w:t>
      </w:r>
      <w:r w:rsidR="00A7114E">
        <w:rPr>
          <w:rFonts w:ascii="David" w:hAnsi="David" w:cs="David" w:hint="cs"/>
          <w:sz w:val="24"/>
          <w:szCs w:val="24"/>
          <w:rtl/>
        </w:rPr>
        <w:t xml:space="preserve">המבקשת טוענת </w:t>
      </w:r>
      <w:r>
        <w:rPr>
          <w:rFonts w:ascii="David" w:hAnsi="David" w:cs="David"/>
          <w:sz w:val="24"/>
          <w:szCs w:val="24"/>
          <w:rtl/>
        </w:rPr>
        <w:t>כי עמדת האפוטרופוס לדין הוגשה לבית המשפט בלא שהוא נפגש עם הקטינות</w:t>
      </w:r>
      <w:r w:rsidR="00A7114E">
        <w:rPr>
          <w:rFonts w:ascii="David" w:hAnsi="David" w:cs="David" w:hint="cs"/>
          <w:sz w:val="24"/>
          <w:szCs w:val="24"/>
          <w:rtl/>
        </w:rPr>
        <w:t>,</w:t>
      </w:r>
      <w:r>
        <w:rPr>
          <w:rFonts w:ascii="David" w:hAnsi="David" w:cs="David"/>
          <w:sz w:val="24"/>
          <w:szCs w:val="24"/>
          <w:rtl/>
        </w:rPr>
        <w:t xml:space="preserve"> ולאחר שקיים שיחה קצרה בלבד איתן</w:t>
      </w:r>
      <w:r w:rsidR="00A7114E">
        <w:rPr>
          <w:rFonts w:ascii="David" w:hAnsi="David" w:cs="David" w:hint="cs"/>
          <w:sz w:val="24"/>
          <w:szCs w:val="24"/>
          <w:rtl/>
        </w:rPr>
        <w:t>,</w:t>
      </w:r>
      <w:r>
        <w:rPr>
          <w:rFonts w:ascii="David" w:hAnsi="David" w:cs="David"/>
          <w:sz w:val="24"/>
          <w:szCs w:val="24"/>
          <w:rtl/>
        </w:rPr>
        <w:t xml:space="preserve"> אף שהתאפשר לו לנסוע לארץ ולהתרשם מסביבתן הטבעית תוך מימון נסיעתו. </w:t>
      </w:r>
    </w:p>
    <w:p w:rsidR="00A7114E" w:rsidRPr="00A7114E" w:rsidRDefault="00A7114E" w:rsidP="00A7114E">
      <w:pPr>
        <w:pStyle w:val="af"/>
        <w:rPr>
          <w:rFonts w:ascii="David" w:hAnsi="David" w:cs="David"/>
          <w:sz w:val="24"/>
          <w:szCs w:val="24"/>
          <w:rtl/>
        </w:rPr>
      </w:pPr>
    </w:p>
    <w:p w:rsidR="00A7114E" w:rsidRDefault="007221B9" w:rsidP="00A7114E">
      <w:pPr>
        <w:pStyle w:val="af"/>
        <w:numPr>
          <w:ilvl w:val="0"/>
          <w:numId w:val="2"/>
        </w:numPr>
        <w:spacing w:line="360" w:lineRule="auto"/>
        <w:jc w:val="both"/>
        <w:rPr>
          <w:rFonts w:ascii="David" w:hAnsi="David" w:cs="David"/>
          <w:sz w:val="24"/>
          <w:szCs w:val="24"/>
        </w:rPr>
      </w:pPr>
      <w:r>
        <w:rPr>
          <w:rFonts w:ascii="David" w:hAnsi="David" w:cs="David"/>
          <w:sz w:val="24"/>
          <w:szCs w:val="24"/>
          <w:rtl/>
        </w:rPr>
        <w:t>בפסק דינו ש</w:t>
      </w:r>
      <w:r w:rsidR="00402E4C">
        <w:rPr>
          <w:rFonts w:ascii="David" w:hAnsi="David" w:cs="David"/>
          <w:sz w:val="24"/>
          <w:szCs w:val="24"/>
          <w:rtl/>
        </w:rPr>
        <w:t>ל בית המשפט לענייני משפחה ב</w:t>
      </w:r>
      <w:r w:rsidR="00402E4C">
        <w:rPr>
          <w:rFonts w:ascii="David" w:hAnsi="David" w:cs="David" w:hint="cs"/>
          <w:sz w:val="24"/>
          <w:szCs w:val="24"/>
          <w:rtl/>
        </w:rPr>
        <w:t>...</w:t>
      </w:r>
      <w:r>
        <w:rPr>
          <w:rFonts w:ascii="David" w:hAnsi="David" w:cs="David"/>
          <w:sz w:val="24"/>
          <w:szCs w:val="24"/>
          <w:rtl/>
        </w:rPr>
        <w:t xml:space="preserve"> נקבע, בהתבסס על עמדת האפוטרופוס לדין, כי המשמורת על ארבע הקטינות תועבר לאב בתוך 30 ימים. </w:t>
      </w:r>
    </w:p>
    <w:p w:rsidR="00A7114E" w:rsidRPr="00A7114E" w:rsidRDefault="00A7114E" w:rsidP="00A7114E">
      <w:pPr>
        <w:pStyle w:val="af"/>
        <w:rPr>
          <w:rFonts w:ascii="David" w:hAnsi="David" w:cs="David"/>
          <w:sz w:val="24"/>
          <w:szCs w:val="24"/>
          <w:rtl/>
        </w:rPr>
      </w:pPr>
    </w:p>
    <w:p w:rsidR="007221B9" w:rsidRDefault="007221B9" w:rsidP="00A7114E">
      <w:pPr>
        <w:pStyle w:val="af"/>
        <w:numPr>
          <w:ilvl w:val="0"/>
          <w:numId w:val="2"/>
        </w:numPr>
        <w:spacing w:line="360" w:lineRule="auto"/>
        <w:jc w:val="both"/>
        <w:rPr>
          <w:rFonts w:ascii="David" w:hAnsi="David" w:cs="David"/>
          <w:sz w:val="24"/>
          <w:szCs w:val="24"/>
          <w:rtl/>
        </w:rPr>
      </w:pPr>
      <w:r>
        <w:rPr>
          <w:rFonts w:ascii="David" w:hAnsi="David" w:cs="David"/>
          <w:sz w:val="24"/>
          <w:szCs w:val="24"/>
          <w:rtl/>
        </w:rPr>
        <w:t>בקשה לעיכוב ביצוע פסק הדין שהוגשה על ידי האם נדחתה בהחלטה מיום 23.10.24, ונקבע כי על האם להשיב את הקטינות לארה"ב לידי האב עד ליום 23.11.24.</w:t>
      </w:r>
    </w:p>
    <w:p w:rsidR="007221B9" w:rsidRDefault="007221B9" w:rsidP="007221B9">
      <w:pPr>
        <w:pStyle w:val="af"/>
        <w:spacing w:line="360" w:lineRule="auto"/>
        <w:jc w:val="both"/>
        <w:rPr>
          <w:rFonts w:ascii="David" w:hAnsi="David" w:cs="David"/>
          <w:sz w:val="24"/>
          <w:szCs w:val="24"/>
        </w:rPr>
      </w:pPr>
    </w:p>
    <w:p w:rsidR="007221B9" w:rsidRDefault="007221B9" w:rsidP="00857322">
      <w:pPr>
        <w:pStyle w:val="af"/>
        <w:numPr>
          <w:ilvl w:val="0"/>
          <w:numId w:val="2"/>
        </w:numPr>
        <w:spacing w:line="360" w:lineRule="auto"/>
        <w:jc w:val="both"/>
        <w:rPr>
          <w:rFonts w:ascii="David" w:hAnsi="David" w:cs="David"/>
          <w:sz w:val="24"/>
          <w:szCs w:val="24"/>
          <w:rtl/>
        </w:rPr>
      </w:pPr>
      <w:r>
        <w:rPr>
          <w:rFonts w:ascii="David" w:hAnsi="David" w:cs="David"/>
          <w:sz w:val="24"/>
          <w:szCs w:val="24"/>
          <w:rtl/>
        </w:rPr>
        <w:t xml:space="preserve">האב הודיע כי </w:t>
      </w:r>
      <w:r w:rsidR="00A7114E">
        <w:rPr>
          <w:rFonts w:ascii="David" w:hAnsi="David" w:cs="David" w:hint="cs"/>
          <w:sz w:val="24"/>
          <w:szCs w:val="24"/>
          <w:rtl/>
        </w:rPr>
        <w:t xml:space="preserve">הוא </w:t>
      </w:r>
      <w:r>
        <w:rPr>
          <w:rFonts w:ascii="David" w:hAnsi="David" w:cs="David"/>
          <w:sz w:val="24"/>
          <w:szCs w:val="24"/>
          <w:rtl/>
        </w:rPr>
        <w:t xml:space="preserve">אינו מעוניין ששתי הקטינות הגדולות יעברו למשמורתו ואף התקשר לסמינר של </w:t>
      </w:r>
      <w:r w:rsidR="00857322">
        <w:rPr>
          <w:rFonts w:ascii="David" w:hAnsi="David" w:cs="David" w:hint="cs"/>
          <w:sz w:val="24"/>
          <w:szCs w:val="24"/>
          <w:rtl/>
        </w:rPr>
        <w:t>...</w:t>
      </w:r>
      <w:r>
        <w:rPr>
          <w:rFonts w:ascii="David" w:hAnsi="David" w:cs="David"/>
          <w:sz w:val="24"/>
          <w:szCs w:val="24"/>
          <w:rtl/>
        </w:rPr>
        <w:t xml:space="preserve"> וביקש כי הוא לא ישלח אותה אליו.</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2"/>
        </w:numPr>
        <w:spacing w:line="360" w:lineRule="auto"/>
        <w:jc w:val="both"/>
        <w:rPr>
          <w:rFonts w:ascii="David" w:hAnsi="David" w:cs="David"/>
          <w:sz w:val="24"/>
          <w:szCs w:val="24"/>
          <w:rtl/>
        </w:rPr>
      </w:pPr>
      <w:r>
        <w:rPr>
          <w:rFonts w:ascii="David" w:hAnsi="David" w:cs="David"/>
          <w:sz w:val="24"/>
          <w:szCs w:val="24"/>
          <w:rtl/>
        </w:rPr>
        <w:t>האם הגישה ערעור על פסק הדין ש</w:t>
      </w:r>
      <w:r w:rsidR="00402E4C">
        <w:rPr>
          <w:rFonts w:ascii="David" w:hAnsi="David" w:cs="David"/>
          <w:sz w:val="24"/>
          <w:szCs w:val="24"/>
          <w:rtl/>
        </w:rPr>
        <w:t>ל בית המשפט לענייני משפחה ב</w:t>
      </w:r>
      <w:r w:rsidR="00402E4C">
        <w:rPr>
          <w:rFonts w:ascii="David" w:hAnsi="David" w:cs="David" w:hint="cs"/>
          <w:sz w:val="24"/>
          <w:szCs w:val="24"/>
          <w:rtl/>
        </w:rPr>
        <w:t>...</w:t>
      </w:r>
      <w:r>
        <w:rPr>
          <w:rFonts w:ascii="David" w:hAnsi="David" w:cs="David"/>
          <w:sz w:val="24"/>
          <w:szCs w:val="24"/>
          <w:rtl/>
        </w:rPr>
        <w:t>, התלוי ועומד.</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spacing w:line="360" w:lineRule="auto"/>
        <w:jc w:val="both"/>
        <w:rPr>
          <w:rFonts w:ascii="David" w:hAnsi="David" w:cs="David"/>
          <w:sz w:val="24"/>
          <w:szCs w:val="24"/>
          <w:rtl/>
        </w:rPr>
      </w:pPr>
    </w:p>
    <w:p w:rsidR="007221B9" w:rsidRDefault="007221B9" w:rsidP="007221B9">
      <w:pPr>
        <w:pStyle w:val="af"/>
        <w:spacing w:line="360" w:lineRule="auto"/>
        <w:jc w:val="both"/>
        <w:rPr>
          <w:rFonts w:ascii="David" w:hAnsi="David" w:cs="David"/>
          <w:b/>
          <w:bCs/>
          <w:sz w:val="28"/>
          <w:szCs w:val="28"/>
          <w:u w:val="single"/>
          <w:rtl/>
        </w:rPr>
      </w:pPr>
      <w:r>
        <w:rPr>
          <w:rFonts w:ascii="David" w:hAnsi="David" w:cs="David"/>
          <w:b/>
          <w:bCs/>
          <w:sz w:val="28"/>
          <w:szCs w:val="28"/>
          <w:u w:val="single"/>
          <w:rtl/>
        </w:rPr>
        <w:t>טענות המבקשת בשלוש הבקשות</w:t>
      </w: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בבקשה למינוי אפוטרופוס לדין לקטינות, שהוא ההליך העיקרי שלפני, התבקש </w:t>
      </w:r>
      <w:r w:rsidR="00A7114E">
        <w:rPr>
          <w:rFonts w:ascii="David" w:hAnsi="David" w:cs="David" w:hint="cs"/>
          <w:sz w:val="24"/>
          <w:szCs w:val="24"/>
          <w:rtl/>
        </w:rPr>
        <w:t xml:space="preserve">כאמור </w:t>
      </w:r>
      <w:r>
        <w:rPr>
          <w:rFonts w:ascii="David" w:hAnsi="David" w:cs="David"/>
          <w:sz w:val="24"/>
          <w:szCs w:val="24"/>
          <w:rtl/>
        </w:rPr>
        <w:t xml:space="preserve">למנות אפוטרופוס לדין לקטינות כדי שייצג את הקטינות ויביא את קולן ואת טובתן בפני בית המשפט דנן, בהתאם, כך נטען, לסמכות בית המשפט לפי סע' 68(א) לחוק הכשרות המשפטית והאפוטרופסות, תשכ"ב -1962 (להלן: </w:t>
      </w:r>
      <w:r>
        <w:rPr>
          <w:rFonts w:ascii="David" w:hAnsi="David" w:cs="David"/>
          <w:b/>
          <w:bCs/>
          <w:sz w:val="24"/>
          <w:szCs w:val="24"/>
          <w:rtl/>
        </w:rPr>
        <w:t>חוק הכשרות</w:t>
      </w:r>
      <w:r>
        <w:rPr>
          <w:rFonts w:ascii="David" w:hAnsi="David" w:cs="David"/>
          <w:sz w:val="24"/>
          <w:szCs w:val="24"/>
          <w:rtl/>
        </w:rPr>
        <w:t xml:space="preserve">); וזאת בשים לב לכוונת האם לנסוע עם הקטינות לארה"ב לשם מסירת המשמורת עליהן לידי האב, בהתאם לפסק הדין שניתן על ידי הערכאה המוסמכת בארה"ב שדנה בעניין. </w:t>
      </w:r>
    </w:p>
    <w:p w:rsidR="007221B9" w:rsidRDefault="007221B9" w:rsidP="007221B9">
      <w:pPr>
        <w:pStyle w:val="af"/>
        <w:spacing w:line="360" w:lineRule="auto"/>
        <w:jc w:val="both"/>
        <w:rPr>
          <w:rFonts w:ascii="David" w:hAnsi="David" w:cs="David"/>
          <w:sz w:val="24"/>
          <w:szCs w:val="24"/>
        </w:rPr>
      </w:pPr>
    </w:p>
    <w:p w:rsidR="007221B9" w:rsidRDefault="00A7114E" w:rsidP="003D0D4E">
      <w:pPr>
        <w:pStyle w:val="af"/>
        <w:numPr>
          <w:ilvl w:val="0"/>
          <w:numId w:val="1"/>
        </w:numPr>
        <w:spacing w:line="360" w:lineRule="auto"/>
        <w:jc w:val="both"/>
        <w:rPr>
          <w:rFonts w:ascii="David" w:hAnsi="David" w:cs="David"/>
          <w:sz w:val="24"/>
          <w:szCs w:val="24"/>
        </w:rPr>
      </w:pPr>
      <w:r>
        <w:rPr>
          <w:rFonts w:ascii="David" w:hAnsi="David" w:cs="David" w:hint="cs"/>
          <w:sz w:val="24"/>
          <w:szCs w:val="24"/>
          <w:rtl/>
        </w:rPr>
        <w:t>ליבת</w:t>
      </w:r>
      <w:r w:rsidR="007221B9">
        <w:rPr>
          <w:rFonts w:ascii="David" w:hAnsi="David" w:cs="David"/>
          <w:sz w:val="24"/>
          <w:szCs w:val="24"/>
          <w:rtl/>
        </w:rPr>
        <w:t xml:space="preserve"> </w:t>
      </w:r>
      <w:r>
        <w:rPr>
          <w:rFonts w:ascii="David" w:hAnsi="David" w:cs="David" w:hint="cs"/>
          <w:sz w:val="24"/>
          <w:szCs w:val="24"/>
          <w:rtl/>
        </w:rPr>
        <w:t>ה</w:t>
      </w:r>
      <w:r>
        <w:rPr>
          <w:rFonts w:ascii="David" w:hAnsi="David" w:cs="David"/>
          <w:sz w:val="24"/>
          <w:szCs w:val="24"/>
          <w:rtl/>
        </w:rPr>
        <w:t>בקשות</w:t>
      </w:r>
      <w:r>
        <w:rPr>
          <w:rFonts w:ascii="David" w:hAnsi="David" w:cs="David" w:hint="cs"/>
          <w:sz w:val="24"/>
          <w:szCs w:val="24"/>
          <w:rtl/>
        </w:rPr>
        <w:t xml:space="preserve"> בטענה</w:t>
      </w:r>
      <w:r w:rsidR="007221B9">
        <w:rPr>
          <w:rFonts w:ascii="David" w:hAnsi="David" w:cs="David"/>
          <w:sz w:val="24"/>
          <w:szCs w:val="24"/>
          <w:rtl/>
        </w:rPr>
        <w:t xml:space="preserve"> כי משמעות העברת הקטינות הקטנות למשמורת האב בארה"ב היא ניתוקן מסביבתן הטבעית, לרבות בית הספר שבו הן לומדות, ומהמרקם המשפחתי שלהן אל סביבה משפחתית, חברתית ולימודית שהן אינן מכירות. נטען עוד כי הקטינות חוו מעשי אלימות בעבר מצד האב כלפיהן. </w:t>
      </w:r>
      <w:r w:rsidR="003D0D4E">
        <w:rPr>
          <w:rFonts w:ascii="David" w:hAnsi="David" w:cs="David" w:hint="cs"/>
          <w:sz w:val="24"/>
          <w:szCs w:val="24"/>
          <w:rtl/>
        </w:rPr>
        <w:t xml:space="preserve">נטען כי המעבר הוא </w:t>
      </w:r>
      <w:r>
        <w:rPr>
          <w:rFonts w:ascii="David" w:hAnsi="David" w:cs="David" w:hint="cs"/>
          <w:sz w:val="24"/>
          <w:szCs w:val="24"/>
          <w:rtl/>
        </w:rPr>
        <w:t>בניגוד לטובתן.</w:t>
      </w:r>
    </w:p>
    <w:p w:rsidR="007221B9" w:rsidRDefault="007221B9" w:rsidP="007221B9">
      <w:pPr>
        <w:pStyle w:val="af"/>
        <w:rPr>
          <w:rFonts w:ascii="David" w:hAnsi="David" w:cs="David"/>
          <w:sz w:val="24"/>
          <w:szCs w:val="24"/>
        </w:rPr>
      </w:pPr>
    </w:p>
    <w:p w:rsidR="007221B9" w:rsidRDefault="007221B9" w:rsidP="00857322">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נטען </w:t>
      </w:r>
      <w:r w:rsidR="00A7114E">
        <w:rPr>
          <w:rFonts w:ascii="David" w:hAnsi="David" w:cs="David" w:hint="cs"/>
          <w:sz w:val="24"/>
          <w:szCs w:val="24"/>
          <w:rtl/>
        </w:rPr>
        <w:t xml:space="preserve">עוד </w:t>
      </w:r>
      <w:r>
        <w:rPr>
          <w:rFonts w:ascii="David" w:hAnsi="David" w:cs="David"/>
          <w:sz w:val="24"/>
          <w:szCs w:val="24"/>
          <w:rtl/>
        </w:rPr>
        <w:t xml:space="preserve">כי הקטינות הגדולות יותר, </w:t>
      </w:r>
      <w:r w:rsidR="00857322">
        <w:rPr>
          <w:rFonts w:ascii="David" w:hAnsi="David" w:cs="David" w:hint="cs"/>
          <w:sz w:val="24"/>
          <w:szCs w:val="24"/>
          <w:rtl/>
        </w:rPr>
        <w:t>...</w:t>
      </w:r>
      <w:r>
        <w:rPr>
          <w:rFonts w:ascii="David" w:hAnsi="David" w:cs="David"/>
          <w:sz w:val="24"/>
          <w:szCs w:val="24"/>
          <w:rtl/>
        </w:rPr>
        <w:t xml:space="preserve"> ו</w:t>
      </w:r>
      <w:r w:rsidR="00857322">
        <w:rPr>
          <w:rFonts w:ascii="David" w:hAnsi="David" w:cs="David" w:hint="cs"/>
          <w:sz w:val="24"/>
          <w:szCs w:val="24"/>
          <w:rtl/>
        </w:rPr>
        <w:t>...</w:t>
      </w:r>
      <w:r>
        <w:rPr>
          <w:rFonts w:ascii="David" w:hAnsi="David" w:cs="David"/>
          <w:sz w:val="24"/>
          <w:szCs w:val="24"/>
          <w:rtl/>
        </w:rPr>
        <w:t xml:space="preserve"> (בנות 17 ו-15, בהתאמה), מסרבות בכל תוקף לנסוע עם האם</w:t>
      </w:r>
      <w:r w:rsidR="003D0D4E">
        <w:rPr>
          <w:rFonts w:ascii="David" w:hAnsi="David" w:cs="David" w:hint="cs"/>
          <w:sz w:val="24"/>
          <w:szCs w:val="24"/>
          <w:rtl/>
        </w:rPr>
        <w:t>,</w:t>
      </w:r>
      <w:r>
        <w:rPr>
          <w:rFonts w:ascii="David" w:hAnsi="David" w:cs="David"/>
          <w:sz w:val="24"/>
          <w:szCs w:val="24"/>
          <w:rtl/>
        </w:rPr>
        <w:t xml:space="preserve"> והודיעו כי לא יעלו לטיסה עם האם וילחמו על כך שגם הקטינות הגדולות לא יעלו על המטוס. המבקשת טוענת עוד כי ממילא האב מסר כי אינו מעוניין ששתי הקטינות הגדולות יעברו למשמורתו, על אף פסק החוץ שניתן.</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נטען כי ככל ותתאפשר נסיעת הקטינות לארה"ב, הדבר יביא לפגיעה קשה בטובת הקטינות, שתתבטא בקריעת הקטינות מיתר בני משפחתן בארץ, והעברתן לתא משפחתי של האב ואשתו מנישואיו השניים שלהם בת משותפת, שהן אינן מכירות, כמו גם עקירתן ממסגרת לימודית וחברתית שבה הן משולבות לסביבה חברתית ולימודית חדשה.</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המבקשת טוענת בבקשתה בהליך העיקרי</w:t>
      </w:r>
      <w:r w:rsidR="00A7114E">
        <w:rPr>
          <w:rFonts w:ascii="David" w:hAnsi="David" w:cs="David" w:hint="cs"/>
          <w:sz w:val="24"/>
          <w:szCs w:val="24"/>
          <w:rtl/>
        </w:rPr>
        <w:t>,</w:t>
      </w:r>
      <w:r>
        <w:rPr>
          <w:rFonts w:ascii="David" w:hAnsi="David" w:cs="David"/>
          <w:sz w:val="24"/>
          <w:szCs w:val="24"/>
          <w:rtl/>
        </w:rPr>
        <w:t xml:space="preserve"> כי בשל כך, וכדי למנוע נזק לקטינות יש למנות אפוטרופוס לדין לקטינות שייצגן כאמור בהליך דנן ויביא את קולן וטובתן. </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כן התבקש בית המשפט</w:t>
      </w:r>
      <w:r w:rsidR="00A7114E">
        <w:rPr>
          <w:rFonts w:ascii="David" w:hAnsi="David" w:cs="David" w:hint="cs"/>
          <w:sz w:val="24"/>
          <w:szCs w:val="24"/>
          <w:rtl/>
        </w:rPr>
        <w:t>,</w:t>
      </w:r>
      <w:r>
        <w:rPr>
          <w:rFonts w:ascii="David" w:hAnsi="David" w:cs="David"/>
          <w:sz w:val="24"/>
          <w:szCs w:val="24"/>
          <w:rtl/>
        </w:rPr>
        <w:t xml:space="preserve"> ב</w:t>
      </w:r>
      <w:r w:rsidR="00A7114E">
        <w:rPr>
          <w:rFonts w:ascii="David" w:hAnsi="David" w:cs="David" w:hint="cs"/>
          <w:sz w:val="24"/>
          <w:szCs w:val="24"/>
          <w:rtl/>
        </w:rPr>
        <w:t xml:space="preserve">גדרי </w:t>
      </w:r>
      <w:r>
        <w:rPr>
          <w:rFonts w:ascii="David" w:hAnsi="David" w:cs="David"/>
          <w:sz w:val="24"/>
          <w:szCs w:val="24"/>
          <w:rtl/>
        </w:rPr>
        <w:t>בקשה נפרדת כאמור שהוגשה בהליך, לעכב את יציאתה מהארץ של האם מהארץ עד לסיום ההליך לעניין מינוי אפוטרופוס לדין והגשת עמדתו, ככל ותיעתר הבקשה למינויו. המבקשת טוענת כי ככל ולא תיעתר הבקשה, יגרם נזק בלתי הפיך לקטינות בשל קריעתן מהתא המשפחתי שאליו הורגלו ופגיעה בנפשן לאורך שנים, וכי  מאזן הנוחות נוטה לטובת הוצאת הצו המבוקש שאך יעכב את יציאת האם מהארץ לתקופה קצרה נוספת.</w:t>
      </w:r>
    </w:p>
    <w:p w:rsidR="007221B9" w:rsidRDefault="007221B9" w:rsidP="007221B9">
      <w:pPr>
        <w:pStyle w:val="af"/>
        <w:rPr>
          <w:rFonts w:ascii="David" w:hAnsi="David" w:cs="David"/>
          <w:sz w:val="24"/>
          <w:szCs w:val="24"/>
        </w:rPr>
      </w:pPr>
    </w:p>
    <w:p w:rsidR="007221B9" w:rsidRDefault="007221B9" w:rsidP="00A7114E">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 בנוסף, ובגדרי בקשה נפרדת נוספת, התבקש כי בית המשפט ישמע את קולן של הקטינות מכוח סמכות בית המשפט לפי תקנה 49 לתקנות בית המשפט לענייני משפחה (סדרי דין) תשפ"א – 2020 בתובענה שהוגשה לפי תקנה 15(א)(3) לתקנות.</w:t>
      </w:r>
    </w:p>
    <w:p w:rsidR="007221B9" w:rsidRDefault="007221B9" w:rsidP="007221B9">
      <w:pPr>
        <w:pStyle w:val="af"/>
        <w:spacing w:line="360" w:lineRule="auto"/>
        <w:jc w:val="both"/>
        <w:rPr>
          <w:rFonts w:ascii="David" w:hAnsi="David" w:cs="David"/>
          <w:sz w:val="24"/>
          <w:szCs w:val="24"/>
          <w:rtl/>
        </w:rPr>
      </w:pPr>
    </w:p>
    <w:p w:rsidR="00A7114E" w:rsidRDefault="00A7114E" w:rsidP="007221B9">
      <w:pPr>
        <w:pStyle w:val="af"/>
        <w:spacing w:line="360" w:lineRule="auto"/>
        <w:jc w:val="both"/>
        <w:rPr>
          <w:rFonts w:ascii="David" w:hAnsi="David" w:cs="David"/>
          <w:sz w:val="24"/>
          <w:szCs w:val="24"/>
        </w:rPr>
      </w:pPr>
    </w:p>
    <w:p w:rsidR="007221B9" w:rsidRDefault="007221B9" w:rsidP="007221B9">
      <w:pPr>
        <w:pStyle w:val="af"/>
        <w:spacing w:line="360" w:lineRule="auto"/>
        <w:jc w:val="both"/>
        <w:rPr>
          <w:rFonts w:ascii="David" w:hAnsi="David" w:cs="David"/>
          <w:b/>
          <w:bCs/>
          <w:sz w:val="28"/>
          <w:szCs w:val="28"/>
          <w:u w:val="single"/>
          <w:rtl/>
        </w:rPr>
      </w:pPr>
      <w:r>
        <w:rPr>
          <w:rFonts w:ascii="David" w:hAnsi="David" w:cs="David"/>
          <w:b/>
          <w:bCs/>
          <w:sz w:val="28"/>
          <w:szCs w:val="28"/>
          <w:u w:val="single"/>
          <w:rtl/>
        </w:rPr>
        <w:t>תגובות המשיבים לעניין הבקשה לעיכוב יציאת האם מהארץ</w:t>
      </w:r>
    </w:p>
    <w:p w:rsidR="007221B9" w:rsidRDefault="007221B9" w:rsidP="007221B9">
      <w:pPr>
        <w:pStyle w:val="af"/>
        <w:spacing w:line="360" w:lineRule="auto"/>
        <w:jc w:val="both"/>
        <w:rPr>
          <w:rFonts w:ascii="David" w:hAnsi="David" w:cs="David"/>
          <w:sz w:val="24"/>
          <w:szCs w:val="24"/>
          <w:u w:val="single"/>
          <w:rtl/>
        </w:rPr>
      </w:pPr>
    </w:p>
    <w:p w:rsidR="007221B9" w:rsidRDefault="007221B9" w:rsidP="007221B9">
      <w:pPr>
        <w:pStyle w:val="af"/>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כאמור בפתח הדברים, התבקשה תגובת המשיבים, אך ורק לבקשה לעיכוב יציאה של האם מהארץ. לא ניתנו הנחיות להגשת תגובות לבקשות האחרות, למעט הנחיות למבקשת להגיש הבהרה לקשיים שעלו לעניין ההליך העיקרי, שעניינו בבקשתה למינוי אפוטרופוס לדין לקטינות. ברם, נראה כי בתגובות אלו יש גם </w:t>
      </w:r>
      <w:r w:rsidR="00A7114E">
        <w:rPr>
          <w:rFonts w:ascii="David" w:hAnsi="David" w:cs="David" w:hint="cs"/>
          <w:sz w:val="24"/>
          <w:szCs w:val="24"/>
          <w:rtl/>
        </w:rPr>
        <w:t xml:space="preserve">במידה רבה </w:t>
      </w:r>
      <w:r>
        <w:rPr>
          <w:rFonts w:ascii="David" w:hAnsi="David" w:cs="David"/>
          <w:sz w:val="24"/>
          <w:szCs w:val="24"/>
          <w:rtl/>
        </w:rPr>
        <w:t>משום התייחסות לבקשות האחרות, שכן קיימת חפיפה בטענות המבקשת בבקשות השונות.</w:t>
      </w:r>
    </w:p>
    <w:p w:rsidR="007221B9" w:rsidRDefault="007221B9" w:rsidP="007221B9">
      <w:pPr>
        <w:pStyle w:val="af"/>
        <w:spacing w:line="360" w:lineRule="auto"/>
        <w:jc w:val="both"/>
        <w:rPr>
          <w:rFonts w:ascii="David" w:hAnsi="David" w:cs="David"/>
          <w:b/>
          <w:bCs/>
          <w:sz w:val="24"/>
          <w:szCs w:val="24"/>
          <w:u w:val="single"/>
        </w:rPr>
      </w:pPr>
    </w:p>
    <w:p w:rsidR="007221B9" w:rsidRDefault="007221B9" w:rsidP="007221B9">
      <w:pPr>
        <w:pStyle w:val="af"/>
        <w:spacing w:line="360" w:lineRule="auto"/>
        <w:jc w:val="both"/>
        <w:rPr>
          <w:rFonts w:ascii="David" w:hAnsi="David" w:cs="David"/>
          <w:b/>
          <w:bCs/>
          <w:sz w:val="24"/>
          <w:szCs w:val="24"/>
          <w:u w:val="single"/>
        </w:rPr>
      </w:pPr>
      <w:r>
        <w:rPr>
          <w:rFonts w:ascii="David" w:hAnsi="David" w:cs="David"/>
          <w:b/>
          <w:bCs/>
          <w:sz w:val="24"/>
          <w:szCs w:val="24"/>
          <w:u w:val="single"/>
          <w:rtl/>
        </w:rPr>
        <w:t>תגובת המשיבה 1, האם</w:t>
      </w:r>
    </w:p>
    <w:p w:rsidR="007221B9" w:rsidRDefault="007221B9" w:rsidP="007221B9">
      <w:pPr>
        <w:pStyle w:val="af"/>
        <w:spacing w:line="360" w:lineRule="auto"/>
        <w:jc w:val="both"/>
        <w:rPr>
          <w:rFonts w:ascii="David" w:hAnsi="David" w:cs="David"/>
          <w:b/>
          <w:bCs/>
          <w:sz w:val="24"/>
          <w:szCs w:val="24"/>
          <w:u w:val="single"/>
          <w:rtl/>
        </w:rPr>
      </w:pPr>
    </w:p>
    <w:p w:rsidR="00575DCE" w:rsidRDefault="007221B9" w:rsidP="00575DCE">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ביום 20.11.24 הגישה האם תגובתה לבקשה לעכב את יציאתה מהארץ. מתגובת האם, שייצגה את עצמה, עולה כי ליבה כבד עליה ואף שבור מהעובדה כי תצטרך להעביר את הקטינות למשמורת האב, שכן לטענתה, האב לא פגש </w:t>
      </w:r>
      <w:r w:rsidR="00A7114E">
        <w:rPr>
          <w:rFonts w:ascii="David" w:hAnsi="David" w:cs="David" w:hint="cs"/>
          <w:sz w:val="24"/>
          <w:szCs w:val="24"/>
          <w:rtl/>
        </w:rPr>
        <w:t xml:space="preserve">אותן </w:t>
      </w:r>
      <w:r>
        <w:rPr>
          <w:rFonts w:ascii="David" w:hAnsi="David" w:cs="David"/>
          <w:sz w:val="24"/>
          <w:szCs w:val="24"/>
          <w:rtl/>
        </w:rPr>
        <w:t>כ-3 שנים והיו אירועי אלימות כלפיהן מצד האב שהותירו סימנים על גופן. לטענתה, הבנות אינן</w:t>
      </w:r>
      <w:r w:rsidR="00575DCE">
        <w:rPr>
          <w:rFonts w:ascii="David" w:hAnsi="David" w:cs="David"/>
          <w:sz w:val="24"/>
          <w:szCs w:val="24"/>
          <w:rtl/>
        </w:rPr>
        <w:t xml:space="preserve"> רוצות לעבור למשמורת האב בארה"ב</w:t>
      </w:r>
      <w:r w:rsidR="00575DCE">
        <w:rPr>
          <w:rFonts w:ascii="David" w:hAnsi="David" w:cs="David" w:hint="cs"/>
          <w:sz w:val="24"/>
          <w:szCs w:val="24"/>
          <w:rtl/>
        </w:rPr>
        <w:t>. הקטינות,</w:t>
      </w:r>
      <w:r>
        <w:rPr>
          <w:rFonts w:ascii="David" w:hAnsi="David" w:cs="David"/>
          <w:sz w:val="24"/>
          <w:szCs w:val="24"/>
          <w:rtl/>
        </w:rPr>
        <w:t xml:space="preserve"> </w:t>
      </w:r>
      <w:r w:rsidR="00575DCE">
        <w:rPr>
          <w:rFonts w:ascii="David" w:hAnsi="David" w:cs="David" w:hint="cs"/>
          <w:sz w:val="24"/>
          <w:szCs w:val="24"/>
          <w:rtl/>
        </w:rPr>
        <w:t>ובפרט 3 הקטינות הגדולות,</w:t>
      </w:r>
      <w:r w:rsidR="00575DCE">
        <w:rPr>
          <w:rFonts w:ascii="David" w:hAnsi="David" w:cs="David"/>
          <w:sz w:val="24"/>
          <w:szCs w:val="24"/>
          <w:rtl/>
        </w:rPr>
        <w:t xml:space="preserve"> צפויות להתנגד פיזית להעלאתן למטוס,</w:t>
      </w:r>
      <w:r>
        <w:rPr>
          <w:rFonts w:ascii="David" w:hAnsi="David" w:cs="David"/>
          <w:sz w:val="24"/>
          <w:szCs w:val="24"/>
          <w:rtl/>
        </w:rPr>
        <w:t xml:space="preserve"> ולצרוח. </w:t>
      </w:r>
    </w:p>
    <w:p w:rsidR="00575DCE" w:rsidRDefault="00575DCE" w:rsidP="00575DCE">
      <w:pPr>
        <w:pStyle w:val="af"/>
        <w:spacing w:line="360" w:lineRule="auto"/>
        <w:jc w:val="both"/>
        <w:rPr>
          <w:rFonts w:ascii="David" w:hAnsi="David" w:cs="David"/>
          <w:sz w:val="24"/>
          <w:szCs w:val="24"/>
        </w:rPr>
      </w:pPr>
    </w:p>
    <w:p w:rsidR="00575DCE" w:rsidRDefault="007221B9" w:rsidP="00857322">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עם זאת, </w:t>
      </w:r>
      <w:r w:rsidR="00575DCE">
        <w:rPr>
          <w:rFonts w:ascii="David" w:hAnsi="David" w:cs="David" w:hint="cs"/>
          <w:sz w:val="24"/>
          <w:szCs w:val="24"/>
          <w:rtl/>
        </w:rPr>
        <w:t xml:space="preserve">האם מציינת כי </w:t>
      </w:r>
      <w:r>
        <w:rPr>
          <w:rFonts w:ascii="David" w:hAnsi="David" w:cs="David"/>
          <w:sz w:val="24"/>
          <w:szCs w:val="24"/>
          <w:rtl/>
        </w:rPr>
        <w:t>חובת</w:t>
      </w:r>
      <w:r w:rsidR="00575DCE">
        <w:rPr>
          <w:rFonts w:ascii="David" w:hAnsi="David" w:cs="David" w:hint="cs"/>
          <w:sz w:val="24"/>
          <w:szCs w:val="24"/>
          <w:rtl/>
        </w:rPr>
        <w:t>ה</w:t>
      </w:r>
      <w:r>
        <w:rPr>
          <w:rFonts w:ascii="David" w:hAnsi="David" w:cs="David"/>
          <w:sz w:val="24"/>
          <w:szCs w:val="24"/>
          <w:rtl/>
        </w:rPr>
        <w:t xml:space="preserve"> לציית לפסק הדין לענייני משפחה ב</w:t>
      </w:r>
      <w:r w:rsidR="00857322">
        <w:rPr>
          <w:rFonts w:ascii="David" w:hAnsi="David" w:cs="David" w:hint="cs"/>
          <w:sz w:val="24"/>
          <w:szCs w:val="24"/>
          <w:rtl/>
        </w:rPr>
        <w:t>...</w:t>
      </w:r>
      <w:r>
        <w:rPr>
          <w:rFonts w:ascii="David" w:hAnsi="David" w:cs="David"/>
          <w:sz w:val="24"/>
          <w:szCs w:val="24"/>
          <w:rtl/>
        </w:rPr>
        <w:t xml:space="preserve">, שהורה על העברת הקטינות למשמורת האב. </w:t>
      </w:r>
    </w:p>
    <w:p w:rsidR="00575DCE" w:rsidRPr="00575DCE" w:rsidRDefault="00575DCE" w:rsidP="00575DCE">
      <w:pPr>
        <w:pStyle w:val="af"/>
        <w:rPr>
          <w:rFonts w:ascii="David" w:hAnsi="David" w:cs="David"/>
          <w:sz w:val="24"/>
          <w:szCs w:val="24"/>
          <w:rtl/>
        </w:rPr>
      </w:pPr>
    </w:p>
    <w:p w:rsidR="00575DCE" w:rsidRDefault="007221B9" w:rsidP="00575DCE">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האם </w:t>
      </w:r>
      <w:r w:rsidR="00575DCE">
        <w:rPr>
          <w:rFonts w:ascii="David" w:hAnsi="David" w:cs="David" w:hint="cs"/>
          <w:sz w:val="24"/>
          <w:szCs w:val="24"/>
          <w:rtl/>
        </w:rPr>
        <w:t xml:space="preserve">מפנה לעובדה </w:t>
      </w:r>
      <w:r>
        <w:rPr>
          <w:rFonts w:ascii="David" w:hAnsi="David" w:cs="David"/>
          <w:sz w:val="24"/>
          <w:szCs w:val="24"/>
          <w:rtl/>
        </w:rPr>
        <w:t xml:space="preserve">כי הוגש ערעור על פסק הדין. </w:t>
      </w:r>
    </w:p>
    <w:p w:rsidR="00575DCE" w:rsidRPr="00575DCE" w:rsidRDefault="00575DCE" w:rsidP="00575DCE">
      <w:pPr>
        <w:pStyle w:val="af"/>
        <w:rPr>
          <w:rFonts w:ascii="David" w:hAnsi="David" w:cs="David"/>
          <w:sz w:val="24"/>
          <w:szCs w:val="24"/>
          <w:rtl/>
        </w:rPr>
      </w:pPr>
    </w:p>
    <w:p w:rsidR="007221B9" w:rsidRDefault="003D0D4E" w:rsidP="00857322">
      <w:pPr>
        <w:pStyle w:val="af"/>
        <w:numPr>
          <w:ilvl w:val="0"/>
          <w:numId w:val="1"/>
        </w:numPr>
        <w:spacing w:line="360" w:lineRule="auto"/>
        <w:jc w:val="both"/>
        <w:rPr>
          <w:rFonts w:ascii="David" w:hAnsi="David" w:cs="David"/>
          <w:sz w:val="24"/>
          <w:szCs w:val="24"/>
        </w:rPr>
      </w:pPr>
      <w:r>
        <w:rPr>
          <w:rFonts w:ascii="David" w:hAnsi="David" w:cs="David"/>
          <w:sz w:val="24"/>
          <w:szCs w:val="24"/>
          <w:rtl/>
        </w:rPr>
        <w:t>האם מציינת עוד כי בא</w:t>
      </w:r>
      <w:r w:rsidR="007221B9">
        <w:rPr>
          <w:rFonts w:ascii="David" w:hAnsi="David" w:cs="David"/>
          <w:sz w:val="24"/>
          <w:szCs w:val="24"/>
          <w:rtl/>
        </w:rPr>
        <w:t xml:space="preserve">ת כוחה בארה"ב עדכנה אותה ביום 19.11.24 בכך שהאב אינו מעוניין שהקטינות </w:t>
      </w:r>
      <w:r w:rsidR="00857322">
        <w:rPr>
          <w:rFonts w:ascii="David" w:hAnsi="David" w:cs="David" w:hint="cs"/>
          <w:sz w:val="24"/>
          <w:szCs w:val="24"/>
          <w:rtl/>
        </w:rPr>
        <w:t>...</w:t>
      </w:r>
      <w:r w:rsidR="007221B9">
        <w:rPr>
          <w:rFonts w:ascii="David" w:hAnsi="David" w:cs="David"/>
          <w:sz w:val="24"/>
          <w:szCs w:val="24"/>
          <w:rtl/>
        </w:rPr>
        <w:t xml:space="preserve"> ו</w:t>
      </w:r>
      <w:r w:rsidR="00857322">
        <w:rPr>
          <w:rFonts w:ascii="David" w:hAnsi="David" w:cs="David" w:hint="cs"/>
          <w:sz w:val="24"/>
          <w:szCs w:val="24"/>
          <w:rtl/>
        </w:rPr>
        <w:t>...</w:t>
      </w:r>
      <w:r>
        <w:rPr>
          <w:rFonts w:ascii="David" w:hAnsi="David" w:cs="David"/>
          <w:sz w:val="24"/>
          <w:szCs w:val="24"/>
          <w:rtl/>
        </w:rPr>
        <w:t xml:space="preserve"> יעב</w:t>
      </w:r>
      <w:r w:rsidR="007221B9">
        <w:rPr>
          <w:rFonts w:ascii="David" w:hAnsi="David" w:cs="David"/>
          <w:sz w:val="24"/>
          <w:szCs w:val="24"/>
          <w:rtl/>
        </w:rPr>
        <w:t>ר</w:t>
      </w:r>
      <w:r>
        <w:rPr>
          <w:rFonts w:ascii="David" w:hAnsi="David" w:cs="David" w:hint="cs"/>
          <w:sz w:val="24"/>
          <w:szCs w:val="24"/>
          <w:rtl/>
        </w:rPr>
        <w:t>ו</w:t>
      </w:r>
      <w:r w:rsidR="007221B9">
        <w:rPr>
          <w:rFonts w:ascii="David" w:hAnsi="David" w:cs="David"/>
          <w:sz w:val="24"/>
          <w:szCs w:val="24"/>
          <w:rtl/>
        </w:rPr>
        <w:t xml:space="preserve"> למשמורתו, אלא רק שהקטינות </w:t>
      </w:r>
      <w:r w:rsidR="00857322">
        <w:rPr>
          <w:rFonts w:ascii="David" w:hAnsi="David" w:cs="David" w:hint="cs"/>
          <w:sz w:val="24"/>
          <w:szCs w:val="24"/>
          <w:rtl/>
        </w:rPr>
        <w:t xml:space="preserve">... </w:t>
      </w:r>
      <w:r w:rsidR="007221B9">
        <w:rPr>
          <w:rFonts w:ascii="David" w:hAnsi="David" w:cs="David"/>
          <w:sz w:val="24"/>
          <w:szCs w:val="24"/>
          <w:rtl/>
        </w:rPr>
        <w:t>ו</w:t>
      </w:r>
      <w:r w:rsidR="00857322">
        <w:rPr>
          <w:rFonts w:ascii="David" w:hAnsi="David" w:cs="David" w:hint="cs"/>
          <w:sz w:val="24"/>
          <w:szCs w:val="24"/>
          <w:rtl/>
        </w:rPr>
        <w:t>...</w:t>
      </w:r>
      <w:r w:rsidR="007221B9">
        <w:rPr>
          <w:rFonts w:ascii="David" w:hAnsi="David" w:cs="David"/>
          <w:sz w:val="24"/>
          <w:szCs w:val="24"/>
          <w:rtl/>
        </w:rPr>
        <w:t xml:space="preserve"> יעברו אליו, היות והוא חושש שהקטינות הגדולות יפגעו לו בבית. </w:t>
      </w:r>
      <w:r w:rsidR="00575DCE">
        <w:rPr>
          <w:rFonts w:ascii="David" w:hAnsi="David" w:cs="David" w:hint="cs"/>
          <w:sz w:val="24"/>
          <w:szCs w:val="24"/>
          <w:rtl/>
        </w:rPr>
        <w:t xml:space="preserve">לטענתה, </w:t>
      </w:r>
      <w:r w:rsidR="007221B9">
        <w:rPr>
          <w:rFonts w:ascii="David" w:hAnsi="David" w:cs="David"/>
          <w:sz w:val="24"/>
          <w:szCs w:val="24"/>
          <w:rtl/>
        </w:rPr>
        <w:t xml:space="preserve">האב אף פנה לסמינר של הבת </w:t>
      </w:r>
      <w:r w:rsidR="00857322">
        <w:rPr>
          <w:rFonts w:ascii="David" w:hAnsi="David" w:cs="David" w:hint="cs"/>
          <w:sz w:val="24"/>
          <w:szCs w:val="24"/>
          <w:rtl/>
        </w:rPr>
        <w:t>...</w:t>
      </w:r>
      <w:r w:rsidR="007221B9">
        <w:rPr>
          <w:rFonts w:ascii="David" w:hAnsi="David" w:cs="David"/>
          <w:sz w:val="24"/>
          <w:szCs w:val="24"/>
          <w:rtl/>
        </w:rPr>
        <w:t xml:space="preserve"> ועדכן אותו כי אין הוא מעוניין שהיא תעבור אליו. האב מעוניין שתוגש בקשה בארה"ב לדחות ב-30 ימים את השבת הבנות לארה"ב. האם טוענת כי משמעות הדבר היא הפרדת האחיות זו מזו.</w:t>
      </w:r>
    </w:p>
    <w:p w:rsidR="007221B9" w:rsidRDefault="007221B9" w:rsidP="007221B9">
      <w:pPr>
        <w:pStyle w:val="af"/>
        <w:spacing w:line="360" w:lineRule="auto"/>
        <w:jc w:val="both"/>
        <w:rPr>
          <w:rFonts w:ascii="David" w:hAnsi="David" w:cs="David"/>
          <w:b/>
          <w:bCs/>
          <w:sz w:val="24"/>
          <w:szCs w:val="24"/>
          <w:u w:val="single"/>
        </w:rPr>
      </w:pPr>
    </w:p>
    <w:p w:rsidR="007221B9" w:rsidRDefault="007221B9" w:rsidP="007221B9">
      <w:pPr>
        <w:pStyle w:val="af"/>
        <w:spacing w:line="360" w:lineRule="auto"/>
        <w:jc w:val="both"/>
        <w:rPr>
          <w:rFonts w:ascii="David" w:hAnsi="David" w:cs="David"/>
          <w:b/>
          <w:bCs/>
          <w:sz w:val="24"/>
          <w:szCs w:val="24"/>
          <w:u w:val="single"/>
          <w:rtl/>
        </w:rPr>
      </w:pPr>
      <w:r>
        <w:rPr>
          <w:rFonts w:ascii="David" w:hAnsi="David" w:cs="David"/>
          <w:b/>
          <w:bCs/>
          <w:sz w:val="24"/>
          <w:szCs w:val="24"/>
          <w:u w:val="single"/>
          <w:rtl/>
        </w:rPr>
        <w:t>תגובת המשיב 1, האב</w:t>
      </w: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בתגובתו שהוגשה היום (שנכתבה במקורה באנגלית ותורגמה לעברית בסיוע משרד עו"ד </w:t>
      </w:r>
      <w:r w:rsidR="003D0D4E">
        <w:rPr>
          <w:rFonts w:ascii="David" w:hAnsi="David" w:cs="David" w:hint="cs"/>
          <w:sz w:val="24"/>
          <w:szCs w:val="24"/>
          <w:rtl/>
        </w:rPr>
        <w:t xml:space="preserve">ד' </w:t>
      </w:r>
      <w:r>
        <w:rPr>
          <w:rFonts w:ascii="David" w:hAnsi="David" w:cs="David"/>
          <w:sz w:val="24"/>
          <w:szCs w:val="24"/>
          <w:rtl/>
        </w:rPr>
        <w:t>פרימר), מתנגד האב, שמייצג את עצמו, לבקשה למתן צו לעיכוב יציא</w:t>
      </w:r>
      <w:r w:rsidR="003D0D4E">
        <w:rPr>
          <w:rFonts w:ascii="David" w:hAnsi="David" w:cs="David" w:hint="cs"/>
          <w:sz w:val="24"/>
          <w:szCs w:val="24"/>
          <w:rtl/>
        </w:rPr>
        <w:t>ת</w:t>
      </w:r>
      <w:r>
        <w:rPr>
          <w:rFonts w:ascii="David" w:hAnsi="David" w:cs="David"/>
          <w:sz w:val="24"/>
          <w:szCs w:val="24"/>
          <w:rtl/>
        </w:rPr>
        <w:t>ה מהארץ של האם.</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האב טוען כי התקיימו בין הצדדים הליכים משפטיים בארה"ב במשך 7 שנים, והאם היתה מיוצגת לאורך כל הדרך. </w:t>
      </w:r>
    </w:p>
    <w:p w:rsidR="007221B9" w:rsidRDefault="007221B9" w:rsidP="007221B9">
      <w:pPr>
        <w:pStyle w:val="af"/>
        <w:rPr>
          <w:rFonts w:ascii="David" w:hAnsi="David" w:cs="David"/>
          <w:sz w:val="24"/>
          <w:szCs w:val="24"/>
        </w:rPr>
      </w:pPr>
    </w:p>
    <w:p w:rsidR="007221B9" w:rsidRDefault="007221B9" w:rsidP="00857322">
      <w:pPr>
        <w:pStyle w:val="af"/>
        <w:numPr>
          <w:ilvl w:val="0"/>
          <w:numId w:val="1"/>
        </w:numPr>
        <w:spacing w:line="360" w:lineRule="auto"/>
        <w:jc w:val="both"/>
        <w:rPr>
          <w:rFonts w:ascii="David" w:hAnsi="David" w:cs="David"/>
          <w:sz w:val="24"/>
          <w:szCs w:val="24"/>
          <w:rtl/>
        </w:rPr>
      </w:pPr>
      <w:r>
        <w:rPr>
          <w:rFonts w:ascii="David" w:hAnsi="David" w:cs="David"/>
          <w:sz w:val="24"/>
          <w:szCs w:val="24"/>
          <w:rtl/>
        </w:rPr>
        <w:t>האב חולק על טענות המבקשת כי הוא פגע בקטינות בעבר ומציין כי הטענות של האם בעניין זה נדחו על ידי בית המשפט</w:t>
      </w:r>
      <w:r w:rsidR="00575DCE">
        <w:rPr>
          <w:rFonts w:ascii="David" w:hAnsi="David" w:cs="David" w:hint="cs"/>
          <w:sz w:val="24"/>
          <w:szCs w:val="24"/>
          <w:rtl/>
        </w:rPr>
        <w:t>,</w:t>
      </w:r>
      <w:r>
        <w:rPr>
          <w:rFonts w:ascii="David" w:hAnsi="David" w:cs="David"/>
          <w:sz w:val="24"/>
          <w:szCs w:val="24"/>
          <w:rtl/>
        </w:rPr>
        <w:t xml:space="preserve"> לצד טענות נוספות שנדחו. האב טוען כי בית המשפט ב</w:t>
      </w:r>
      <w:r w:rsidR="00857322">
        <w:rPr>
          <w:rFonts w:ascii="David" w:hAnsi="David" w:cs="David" w:hint="cs"/>
          <w:sz w:val="24"/>
          <w:szCs w:val="24"/>
          <w:rtl/>
        </w:rPr>
        <w:t>...</w:t>
      </w:r>
      <w:r>
        <w:rPr>
          <w:rFonts w:ascii="David" w:hAnsi="David" w:cs="David"/>
          <w:sz w:val="24"/>
          <w:szCs w:val="24"/>
          <w:rtl/>
        </w:rPr>
        <w:t xml:space="preserve"> </w:t>
      </w:r>
      <w:r w:rsidR="00575DCE">
        <w:rPr>
          <w:rFonts w:ascii="David" w:hAnsi="David" w:cs="David" w:hint="cs"/>
          <w:sz w:val="24"/>
          <w:szCs w:val="24"/>
          <w:rtl/>
        </w:rPr>
        <w:t>שב</w:t>
      </w:r>
      <w:r>
        <w:rPr>
          <w:rFonts w:ascii="David" w:hAnsi="David" w:cs="David"/>
          <w:sz w:val="24"/>
          <w:szCs w:val="24"/>
          <w:rtl/>
        </w:rPr>
        <w:t>ארה"ב הורה על העברת המשמורת על הקטינות אליו לאחר שנוכח כי האם גרמה להרחקת הקטינות ממנו ולניכור הורי כלפיו, דבר שעליו עמד האפוטרופוס לדין בעת שהגיש עמדתו, וכן לאחר שנוכח כי האם לא דאגה באופן הולם לבריאות הקטינות ו</w:t>
      </w:r>
      <w:r w:rsidR="003D0D4E">
        <w:rPr>
          <w:rFonts w:ascii="David" w:hAnsi="David" w:cs="David" w:hint="cs"/>
          <w:sz w:val="24"/>
          <w:szCs w:val="24"/>
          <w:rtl/>
        </w:rPr>
        <w:t>ל</w:t>
      </w:r>
      <w:r>
        <w:rPr>
          <w:rFonts w:ascii="David" w:hAnsi="David" w:cs="David"/>
          <w:sz w:val="24"/>
          <w:szCs w:val="24"/>
          <w:rtl/>
        </w:rPr>
        <w:t xml:space="preserve">חינוכן. בית המשפט ביקש להגן על </w:t>
      </w:r>
      <w:r w:rsidR="00575DCE">
        <w:rPr>
          <w:rFonts w:ascii="David" w:hAnsi="David" w:cs="David" w:hint="cs"/>
          <w:sz w:val="24"/>
          <w:szCs w:val="24"/>
          <w:rtl/>
        </w:rPr>
        <w:t xml:space="preserve">עניינן של </w:t>
      </w:r>
      <w:r>
        <w:rPr>
          <w:rFonts w:ascii="David" w:hAnsi="David" w:cs="David"/>
          <w:sz w:val="24"/>
          <w:szCs w:val="24"/>
          <w:rtl/>
        </w:rPr>
        <w:t>הקטינות</w:t>
      </w:r>
      <w:r w:rsidR="00575DCE">
        <w:rPr>
          <w:rFonts w:ascii="David" w:hAnsi="David" w:cs="David" w:hint="cs"/>
          <w:sz w:val="24"/>
          <w:szCs w:val="24"/>
          <w:rtl/>
        </w:rPr>
        <w:t>,</w:t>
      </w:r>
      <w:r>
        <w:rPr>
          <w:rFonts w:ascii="David" w:hAnsi="David" w:cs="David"/>
          <w:sz w:val="24"/>
          <w:szCs w:val="24"/>
          <w:rtl/>
        </w:rPr>
        <w:t xml:space="preserve"> ולהבטיח קשר משמעותי בין האב לבינ</w:t>
      </w:r>
      <w:r w:rsidR="00575DCE">
        <w:rPr>
          <w:rFonts w:ascii="David" w:hAnsi="David" w:cs="David" w:hint="cs"/>
          <w:sz w:val="24"/>
          <w:szCs w:val="24"/>
          <w:rtl/>
        </w:rPr>
        <w:t>ן</w:t>
      </w:r>
      <w:r>
        <w:rPr>
          <w:rFonts w:ascii="David" w:hAnsi="David" w:cs="David"/>
          <w:sz w:val="24"/>
          <w:szCs w:val="24"/>
          <w:rtl/>
        </w:rPr>
        <w:t>, ועל כן קבע כי המשמורת על הקטינות תועבר אליו.</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האב טוען כי אין לאפשר לאם לעכב את ביצוע פסק החוץ באמצעות הליך עוקף בארץ.</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spacing w:line="360" w:lineRule="auto"/>
        <w:jc w:val="both"/>
        <w:rPr>
          <w:rFonts w:ascii="David" w:hAnsi="David" w:cs="David"/>
          <w:b/>
          <w:bCs/>
          <w:sz w:val="24"/>
          <w:szCs w:val="24"/>
          <w:u w:val="single"/>
          <w:rtl/>
        </w:rPr>
      </w:pPr>
      <w:r>
        <w:rPr>
          <w:rFonts w:ascii="David" w:hAnsi="David" w:cs="David"/>
          <w:b/>
          <w:bCs/>
          <w:sz w:val="24"/>
          <w:szCs w:val="24"/>
          <w:u w:val="single"/>
          <w:rtl/>
        </w:rPr>
        <w:t>תגובת ב"כ היועמ"ש</w:t>
      </w: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בהתאם להחלטתי מיום 19.11.24 שבה הורתי </w:t>
      </w:r>
      <w:r w:rsidR="00575DCE">
        <w:rPr>
          <w:rFonts w:ascii="David" w:hAnsi="David" w:cs="David" w:hint="cs"/>
          <w:sz w:val="24"/>
          <w:szCs w:val="24"/>
          <w:rtl/>
        </w:rPr>
        <w:t>ע</w:t>
      </w:r>
      <w:r>
        <w:rPr>
          <w:rFonts w:ascii="David" w:hAnsi="David" w:cs="David"/>
          <w:sz w:val="24"/>
          <w:szCs w:val="24"/>
          <w:rtl/>
        </w:rPr>
        <w:t>ל צירוף ב"כ היועמ"ש ברווחה כצד לבקשה</w:t>
      </w:r>
      <w:r w:rsidR="00575DCE">
        <w:rPr>
          <w:rFonts w:ascii="David" w:hAnsi="David" w:cs="David"/>
          <w:sz w:val="24"/>
          <w:szCs w:val="24"/>
          <w:rtl/>
        </w:rPr>
        <w:t xml:space="preserve"> לעיכוב יציאה של האם מהארץ,</w:t>
      </w:r>
      <w:r>
        <w:rPr>
          <w:rFonts w:ascii="David" w:hAnsi="David" w:cs="David"/>
          <w:sz w:val="24"/>
          <w:szCs w:val="24"/>
          <w:rtl/>
        </w:rPr>
        <w:t xml:space="preserve"> ביום 20.11.24 </w:t>
      </w:r>
      <w:r w:rsidR="00575DCE">
        <w:rPr>
          <w:rFonts w:ascii="David" w:hAnsi="David" w:cs="David" w:hint="cs"/>
          <w:sz w:val="24"/>
          <w:szCs w:val="24"/>
          <w:rtl/>
        </w:rPr>
        <w:t xml:space="preserve">הגישה </w:t>
      </w:r>
      <w:r w:rsidR="00575DCE">
        <w:rPr>
          <w:rFonts w:ascii="David" w:hAnsi="David" w:cs="David"/>
          <w:sz w:val="24"/>
          <w:szCs w:val="24"/>
          <w:rtl/>
        </w:rPr>
        <w:t>ב"כ היועמ"ש עמדה ב</w:t>
      </w:r>
      <w:r w:rsidR="00575DCE">
        <w:rPr>
          <w:rFonts w:ascii="David" w:hAnsi="David" w:cs="David" w:hint="cs"/>
          <w:sz w:val="24"/>
          <w:szCs w:val="24"/>
          <w:rtl/>
        </w:rPr>
        <w:t>יחס לבקשה זו</w:t>
      </w:r>
      <w:r>
        <w:rPr>
          <w:rFonts w:ascii="David" w:hAnsi="David" w:cs="David"/>
          <w:sz w:val="24"/>
          <w:szCs w:val="24"/>
          <w:rtl/>
        </w:rPr>
        <w:t xml:space="preserve">. </w:t>
      </w:r>
    </w:p>
    <w:p w:rsidR="007221B9" w:rsidRPr="00575DCE"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ב"כ היועמ"ש הפנתה להחלטה ראשונית של המותבת </w:t>
      </w:r>
      <w:r w:rsidR="00575DCE">
        <w:rPr>
          <w:rFonts w:ascii="David" w:hAnsi="David" w:cs="David"/>
          <w:sz w:val="24"/>
          <w:szCs w:val="24"/>
          <w:rtl/>
        </w:rPr>
        <w:t>דנן</w:t>
      </w:r>
      <w:r w:rsidR="003D0D4E">
        <w:rPr>
          <w:rFonts w:ascii="David" w:hAnsi="David" w:cs="David" w:hint="cs"/>
          <w:sz w:val="24"/>
          <w:szCs w:val="24"/>
          <w:rtl/>
        </w:rPr>
        <w:t>,</w:t>
      </w:r>
      <w:r w:rsidR="00575DCE">
        <w:rPr>
          <w:rFonts w:ascii="David" w:hAnsi="David" w:cs="David"/>
          <w:sz w:val="24"/>
          <w:szCs w:val="24"/>
          <w:rtl/>
        </w:rPr>
        <w:t xml:space="preserve"> שניתנה ביחס להליך העיקרי</w:t>
      </w:r>
      <w:r w:rsidR="003D0D4E">
        <w:rPr>
          <w:rFonts w:ascii="David" w:hAnsi="David" w:cs="David" w:hint="cs"/>
          <w:sz w:val="24"/>
          <w:szCs w:val="24"/>
          <w:rtl/>
        </w:rPr>
        <w:t>,</w:t>
      </w:r>
      <w:r w:rsidR="00575DCE">
        <w:rPr>
          <w:rFonts w:ascii="David" w:hAnsi="David" w:cs="David"/>
          <w:sz w:val="24"/>
          <w:szCs w:val="24"/>
          <w:rtl/>
        </w:rPr>
        <w:t xml:space="preserve"> שב</w:t>
      </w:r>
      <w:r w:rsidR="00575DCE">
        <w:rPr>
          <w:rFonts w:ascii="David" w:hAnsi="David" w:cs="David" w:hint="cs"/>
          <w:sz w:val="24"/>
          <w:szCs w:val="24"/>
          <w:rtl/>
        </w:rPr>
        <w:t>ה</w:t>
      </w:r>
      <w:r>
        <w:rPr>
          <w:rFonts w:ascii="David" w:hAnsi="David" w:cs="David"/>
          <w:sz w:val="24"/>
          <w:szCs w:val="24"/>
          <w:rtl/>
        </w:rPr>
        <w:t xml:space="preserve"> התבקש</w:t>
      </w:r>
      <w:r w:rsidR="00575DCE">
        <w:rPr>
          <w:rFonts w:ascii="David" w:hAnsi="David" w:cs="David"/>
          <w:sz w:val="24"/>
          <w:szCs w:val="24"/>
          <w:rtl/>
        </w:rPr>
        <w:t xml:space="preserve"> מינוי אפוטרופוס לדין כאמור, </w:t>
      </w:r>
      <w:r w:rsidR="00575DCE">
        <w:rPr>
          <w:rFonts w:ascii="David" w:hAnsi="David" w:cs="David" w:hint="cs"/>
          <w:sz w:val="24"/>
          <w:szCs w:val="24"/>
          <w:rtl/>
        </w:rPr>
        <w:t>ואשר במסגרתה</w:t>
      </w:r>
      <w:r>
        <w:rPr>
          <w:rFonts w:ascii="David" w:hAnsi="David" w:cs="David"/>
          <w:sz w:val="24"/>
          <w:szCs w:val="24"/>
          <w:rtl/>
        </w:rPr>
        <w:t xml:space="preserve"> התבקשה המבקשת להבהיר בתוך 7 ימים מדוע לא תימחק בקשתה, בשים לב, בין השאר לכך, שההורים הם האפוטרופסים הטבעיים על הקטינות, ולמבקשת אין מעמד בהליך, וכן בהינתן שניתן פסק דין על ידי בית המשפט המוסמך בארה"ב, שקובע העברת משמורת על הקטינות לידי האב, וכי בית המשפט דנן אינו ערכאת ערעור על פסק החוץ. </w:t>
      </w:r>
    </w:p>
    <w:p w:rsidR="007221B9" w:rsidRDefault="007221B9" w:rsidP="007221B9">
      <w:pPr>
        <w:pStyle w:val="af"/>
        <w:rPr>
          <w:rFonts w:ascii="David" w:hAnsi="David" w:cs="David"/>
          <w:sz w:val="24"/>
          <w:szCs w:val="24"/>
        </w:rPr>
      </w:pPr>
    </w:p>
    <w:p w:rsidR="007221B9" w:rsidRDefault="007221B9" w:rsidP="0004352A">
      <w:pPr>
        <w:pStyle w:val="af"/>
        <w:numPr>
          <w:ilvl w:val="0"/>
          <w:numId w:val="1"/>
        </w:numPr>
        <w:spacing w:line="360" w:lineRule="auto"/>
        <w:jc w:val="both"/>
        <w:rPr>
          <w:rFonts w:ascii="David" w:hAnsi="David" w:cs="David"/>
          <w:sz w:val="24"/>
          <w:szCs w:val="24"/>
          <w:rtl/>
        </w:rPr>
      </w:pPr>
      <w:r>
        <w:rPr>
          <w:rFonts w:ascii="David" w:hAnsi="David" w:cs="David"/>
          <w:sz w:val="24"/>
          <w:szCs w:val="24"/>
          <w:rtl/>
        </w:rPr>
        <w:t>ב"כ היועמ"ש הביעה עמדתה כי למבקשת, אחות הקטינות</w:t>
      </w:r>
      <w:r w:rsidR="003D0D4E">
        <w:rPr>
          <w:rFonts w:ascii="David" w:hAnsi="David" w:cs="David" w:hint="cs"/>
          <w:sz w:val="24"/>
          <w:szCs w:val="24"/>
          <w:rtl/>
        </w:rPr>
        <w:t>,</w:t>
      </w:r>
      <w:r>
        <w:rPr>
          <w:rFonts w:ascii="David" w:hAnsi="David" w:cs="David"/>
          <w:sz w:val="24"/>
          <w:szCs w:val="24"/>
          <w:rtl/>
        </w:rPr>
        <w:t xml:space="preserve"> אין מעמד להגיש את ההליך ביחס אליהן, וכי מכל מקום, לנוכח פסק החוץ שקבע העברת משמורת לאב ודחה בקשה לעיכוב ביצוע שהגיש האם, ו</w:t>
      </w:r>
      <w:r w:rsidR="00575DCE">
        <w:rPr>
          <w:rFonts w:ascii="David" w:hAnsi="David" w:cs="David" w:hint="cs"/>
          <w:sz w:val="24"/>
          <w:szCs w:val="24"/>
          <w:rtl/>
        </w:rPr>
        <w:t>משעה ש</w:t>
      </w:r>
      <w:r>
        <w:rPr>
          <w:rFonts w:ascii="David" w:hAnsi="David" w:cs="David"/>
          <w:sz w:val="24"/>
          <w:szCs w:val="24"/>
          <w:rtl/>
        </w:rPr>
        <w:t>בית המשפט ביש</w:t>
      </w:r>
      <w:r w:rsidR="00575DCE">
        <w:rPr>
          <w:rFonts w:ascii="David" w:hAnsi="David" w:cs="David"/>
          <w:sz w:val="24"/>
          <w:szCs w:val="24"/>
          <w:rtl/>
        </w:rPr>
        <w:t>ראל אינו מהווה ערכאת ערעור ע</w:t>
      </w:r>
      <w:r w:rsidR="0004352A">
        <w:rPr>
          <w:rFonts w:ascii="David" w:hAnsi="David" w:cs="David" w:hint="cs"/>
          <w:sz w:val="24"/>
          <w:szCs w:val="24"/>
          <w:rtl/>
        </w:rPr>
        <w:t xml:space="preserve">ל </w:t>
      </w:r>
      <w:r w:rsidR="00575DCE">
        <w:rPr>
          <w:rFonts w:ascii="David" w:hAnsi="David" w:cs="David" w:hint="cs"/>
          <w:sz w:val="24"/>
          <w:szCs w:val="24"/>
          <w:rtl/>
        </w:rPr>
        <w:t>פסק</w:t>
      </w:r>
      <w:r w:rsidR="0004352A">
        <w:rPr>
          <w:rFonts w:ascii="David" w:hAnsi="David" w:cs="David" w:hint="cs"/>
          <w:sz w:val="24"/>
          <w:szCs w:val="24"/>
          <w:rtl/>
        </w:rPr>
        <w:t xml:space="preserve"> הדין,</w:t>
      </w:r>
      <w:r w:rsidR="00575DCE">
        <w:rPr>
          <w:rFonts w:ascii="David" w:hAnsi="David" w:cs="David" w:hint="cs"/>
          <w:sz w:val="24"/>
          <w:szCs w:val="24"/>
          <w:rtl/>
        </w:rPr>
        <w:t xml:space="preserve"> </w:t>
      </w:r>
      <w:r>
        <w:rPr>
          <w:rFonts w:ascii="David" w:hAnsi="David" w:cs="David"/>
          <w:sz w:val="24"/>
          <w:szCs w:val="24"/>
          <w:rtl/>
        </w:rPr>
        <w:t>יש לדחות את הבקשה לצו עיכוב יציאה מהארץ נגד האם.</w:t>
      </w:r>
    </w:p>
    <w:p w:rsidR="007221B9" w:rsidRDefault="007221B9" w:rsidP="007221B9">
      <w:pPr>
        <w:pStyle w:val="af"/>
        <w:rPr>
          <w:rFonts w:ascii="David" w:hAnsi="David" w:cs="David"/>
          <w:b/>
          <w:bCs/>
          <w:sz w:val="28"/>
          <w:szCs w:val="28"/>
          <w:u w:val="single"/>
        </w:rPr>
      </w:pPr>
    </w:p>
    <w:p w:rsidR="007221B9" w:rsidRDefault="007221B9" w:rsidP="0004352A">
      <w:pPr>
        <w:pStyle w:val="af"/>
        <w:jc w:val="both"/>
        <w:rPr>
          <w:rFonts w:ascii="David" w:hAnsi="David" w:cs="David"/>
          <w:b/>
          <w:bCs/>
          <w:sz w:val="28"/>
          <w:szCs w:val="28"/>
          <w:u w:val="single"/>
          <w:rtl/>
        </w:rPr>
      </w:pPr>
      <w:r>
        <w:rPr>
          <w:rFonts w:ascii="David" w:hAnsi="David" w:cs="David"/>
          <w:b/>
          <w:bCs/>
          <w:sz w:val="28"/>
          <w:szCs w:val="28"/>
          <w:u w:val="single"/>
          <w:rtl/>
        </w:rPr>
        <w:t>הבהרות המבקשת שהוגשו בהתאם להחלטה מיום 19.11.24 לעניין ההליך העיקרי</w:t>
      </w:r>
    </w:p>
    <w:p w:rsidR="007221B9" w:rsidRDefault="007221B9" w:rsidP="007221B9">
      <w:pPr>
        <w:pStyle w:val="af"/>
        <w:spacing w:line="360" w:lineRule="auto"/>
        <w:jc w:val="both"/>
        <w:rPr>
          <w:rFonts w:ascii="David" w:hAnsi="David" w:cs="David"/>
          <w:sz w:val="24"/>
          <w:szCs w:val="24"/>
          <w:rtl/>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היום הוגשו הבהרות המבקשת בעניין הקשיים שהועלו בהחלטתי מיום 19.11.24 לעניין ההליך העיקרי שעניינו בבקשתה למנות אפוטרופוס לדין לקטינים.</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לעניין מעמד המבקשת להגיש את ההליך, המבקשת מפנה להוראת סע' 68 לחוק הכשרות, העוסקת בסמכות בית המשפט לנקוט אמצעים זמניים לשמירת ענייניו של קטין, לבקשת "צד מעוניין", לרבות באמצעות מינוי אפוטרופוס לדין, ולרבות במקרה שבו הקטין פנה לבית המשפט בעצמו. המבקשת טוענת כי כאחותן הבגירה של הקטינות היא "צד מעוניין", כמשמעו בסע' 68 לחוק הכשרות.</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כן מפנה המבקשת להוראת סע' 3(ד) לחוק בית המשפט לענייני משפחה, התשנ"ה –1995 (להלן: </w:t>
      </w:r>
      <w:r>
        <w:rPr>
          <w:rFonts w:ascii="David" w:hAnsi="David" w:cs="David"/>
          <w:b/>
          <w:bCs/>
          <w:sz w:val="24"/>
          <w:szCs w:val="24"/>
          <w:rtl/>
        </w:rPr>
        <w:t>חוק בית המשפט לענייני משפחה</w:t>
      </w:r>
      <w:r>
        <w:rPr>
          <w:rFonts w:ascii="David" w:hAnsi="David" w:cs="David"/>
          <w:sz w:val="24"/>
          <w:szCs w:val="24"/>
          <w:rtl/>
        </w:rPr>
        <w:t>), שבו נקבע, בין היתר, כי קטין בעצמו או באמצעות ידיד קרוב רשאי להגיש תובענה לפי החוק לפי חוק זה, בכל עניין שבו עלולה זכותו להיפגע פגיעה של ממש.</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אשר לשיקול הדעת של בית המשפט לקיים את ההליך שנקטה המבקשת, המבקשת טוענת כי ה</w:t>
      </w:r>
      <w:r w:rsidR="0004352A">
        <w:rPr>
          <w:rFonts w:ascii="David" w:hAnsi="David" w:cs="David" w:hint="cs"/>
          <w:sz w:val="24"/>
          <w:szCs w:val="24"/>
          <w:rtl/>
        </w:rPr>
        <w:t>א</w:t>
      </w:r>
      <w:r>
        <w:rPr>
          <w:rFonts w:ascii="David" w:hAnsi="David" w:cs="David"/>
          <w:sz w:val="24"/>
          <w:szCs w:val="24"/>
          <w:rtl/>
        </w:rPr>
        <w:t>ם "מנוטרלת מחמת ההליך בארה"ב", כלשונה, ואילו האב מסרב למלא אחר פסק החוץ בכך שמנסה למנוע את חזרת שתי הקטינות הגדולות לארה"ב למשמרתו. המבקשת טוענת כי היא פנתה ללשכה לסיוע משפטי אך פניה הושבו ריקם</w:t>
      </w:r>
      <w:r w:rsidR="003D0D4E">
        <w:rPr>
          <w:rFonts w:ascii="David" w:hAnsi="David" w:cs="David" w:hint="cs"/>
          <w:sz w:val="24"/>
          <w:szCs w:val="24"/>
          <w:rtl/>
        </w:rPr>
        <w:t>,</w:t>
      </w:r>
      <w:r>
        <w:rPr>
          <w:rFonts w:ascii="David" w:hAnsi="David" w:cs="David"/>
          <w:sz w:val="24"/>
          <w:szCs w:val="24"/>
          <w:rtl/>
        </w:rPr>
        <w:t xml:space="preserve"> ואילו מזכירות בית המשפט לא איפשרה לקטינות להשמיע קולן בפני שופט. בהינתן האמור, ולנוכח המצוקה הגדולה שאליה נקלעו הקטינות, </w:t>
      </w:r>
      <w:r w:rsidR="0004352A">
        <w:rPr>
          <w:rFonts w:ascii="David" w:hAnsi="David" w:cs="David" w:hint="cs"/>
          <w:sz w:val="24"/>
          <w:szCs w:val="24"/>
          <w:rtl/>
        </w:rPr>
        <w:t>ו</w:t>
      </w:r>
      <w:r>
        <w:rPr>
          <w:rFonts w:ascii="David" w:hAnsi="David" w:cs="David"/>
          <w:sz w:val="24"/>
          <w:szCs w:val="24"/>
          <w:rtl/>
        </w:rPr>
        <w:t>גם בשים לב לכך שהקטינות הגדולות מסרבות לחזור לאב וגם האב מצדו אינו מעוניין בחזרתן, הכרח להותיר את הדלת פתוחה ולאפשר את שמיעת הקטינות.</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המבקשת טוענת כי עמדת ב"כ היועמ"ש שהוגשה בעניין הבקשה לעיכוב יציאה מהארץ של האם אינה הומנית ואינה  משכנעת. המבקשת </w:t>
      </w:r>
      <w:r w:rsidR="0004352A">
        <w:rPr>
          <w:rFonts w:ascii="David" w:hAnsi="David" w:cs="David" w:hint="cs"/>
          <w:sz w:val="24"/>
          <w:szCs w:val="24"/>
          <w:rtl/>
        </w:rPr>
        <w:t xml:space="preserve">טוענת כי היא </w:t>
      </w:r>
      <w:r>
        <w:rPr>
          <w:rFonts w:ascii="David" w:hAnsi="David" w:cs="David"/>
          <w:sz w:val="24"/>
          <w:szCs w:val="24"/>
          <w:rtl/>
        </w:rPr>
        <w:t>אינה מנסה לערער על פסק החוץ באמצעות ההליך דנן אלא מבקשת לקיים הליך שמטרתו לשמור על טובת הקטינות. מינוי אפוטרופוס לדין על ידי בית המשפט דנן יאפשר לו לבוא בדברים עם ההורים ולסייע בפתרון המשבר.</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המבקשת מבקשת להבהיר עוד כי בקשתה למתן צו לעיכוב יציאה מהארץ מכוונת גם לעיכוב יציאת הקטינות מהארץ.</w:t>
      </w:r>
    </w:p>
    <w:p w:rsidR="007221B9" w:rsidRDefault="007221B9" w:rsidP="007221B9">
      <w:pPr>
        <w:pStyle w:val="af"/>
        <w:rPr>
          <w:rFonts w:ascii="David" w:hAnsi="David" w:cs="David"/>
          <w:sz w:val="24"/>
          <w:szCs w:val="24"/>
        </w:rPr>
      </w:pPr>
    </w:p>
    <w:p w:rsidR="007221B9" w:rsidRDefault="007221B9" w:rsidP="007221B9">
      <w:pPr>
        <w:pStyle w:val="af"/>
        <w:rPr>
          <w:rFonts w:ascii="David" w:hAnsi="David" w:cs="David"/>
          <w:b/>
          <w:bCs/>
          <w:sz w:val="28"/>
          <w:szCs w:val="28"/>
          <w:u w:val="single"/>
          <w:rtl/>
        </w:rPr>
      </w:pPr>
      <w:r>
        <w:rPr>
          <w:rFonts w:ascii="David" w:hAnsi="David" w:cs="David"/>
          <w:b/>
          <w:bCs/>
          <w:sz w:val="28"/>
          <w:szCs w:val="28"/>
          <w:u w:val="single"/>
          <w:rtl/>
        </w:rPr>
        <w:t>דיון והכרעה</w:t>
      </w:r>
    </w:p>
    <w:p w:rsidR="007221B9" w:rsidRDefault="007221B9" w:rsidP="007221B9">
      <w:pPr>
        <w:pStyle w:val="af"/>
        <w:rPr>
          <w:rFonts w:ascii="David" w:hAnsi="David" w:cs="David"/>
          <w:b/>
          <w:bCs/>
          <w:sz w:val="24"/>
          <w:szCs w:val="24"/>
          <w:u w:val="single"/>
          <w:rtl/>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מצאתי כי דין הבקשות להדחות. </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הטעם העיקרי לכך פשוט וברור הוא. מטרתן הברורה של הבקשות אחת היא, והיא להביא למתן החלטה של בית משפט זה אשר תעמוד בסתירה מוחלטת לפסק החוץ שניתן המורה על העברת הקטינות למשמורת האב בארה"ב בימים אלה (אם לא היום ממש), לאחר שנדחתה בקשה לעיכוב ביצוע של פסק הדין, ונקבע מועד ברור להשבת הקטינות למשמורת האב בארה"ב. לכך, אין לתת יד. על פסק החוץ תלוי ועומד ערעור, ואת כל הטענות לעניין פסק החוץ שניתן, יש להעלות בגדרו.</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כעת לנימוקי ההכרעה ביתר הרחבה.</w:t>
      </w:r>
    </w:p>
    <w:p w:rsidR="007221B9" w:rsidRDefault="007221B9" w:rsidP="007221B9">
      <w:pPr>
        <w:pStyle w:val="af"/>
        <w:rPr>
          <w:rFonts w:ascii="David" w:hAnsi="David" w:cs="David"/>
          <w:b/>
          <w:bCs/>
          <w:sz w:val="24"/>
          <w:szCs w:val="24"/>
          <w:u w:val="single"/>
        </w:rPr>
      </w:pPr>
    </w:p>
    <w:p w:rsidR="007221B9" w:rsidRDefault="007221B9" w:rsidP="007221B9">
      <w:pPr>
        <w:pStyle w:val="af"/>
        <w:rPr>
          <w:rFonts w:ascii="David" w:hAnsi="David" w:cs="David"/>
          <w:b/>
          <w:bCs/>
          <w:sz w:val="24"/>
          <w:szCs w:val="24"/>
          <w:u w:val="single"/>
          <w:rtl/>
        </w:rPr>
      </w:pPr>
      <w:r>
        <w:rPr>
          <w:rFonts w:ascii="David" w:hAnsi="David" w:cs="David"/>
          <w:b/>
          <w:bCs/>
          <w:sz w:val="24"/>
          <w:szCs w:val="24"/>
          <w:u w:val="single"/>
          <w:rtl/>
        </w:rPr>
        <w:t>סוגיית מעמד המבקשת להגיש את הבקשות</w:t>
      </w:r>
    </w:p>
    <w:p w:rsidR="007221B9" w:rsidRDefault="007221B9" w:rsidP="007221B9">
      <w:pPr>
        <w:pStyle w:val="af"/>
        <w:spacing w:line="360" w:lineRule="auto"/>
        <w:jc w:val="both"/>
        <w:rPr>
          <w:rFonts w:ascii="David" w:hAnsi="David" w:cs="David"/>
          <w:sz w:val="24"/>
          <w:szCs w:val="24"/>
          <w:rtl/>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המבקשת מפנה להוראת סע' 68(א) לחוק הכשרות ולסעיף 3(ד) לחוק בית המשפט לענייני משפחה לעניין מעמדה בהגשת תביעה בשם הקטינות. </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הוראת סע' 3(ד) לחוק בית המשפט לענייני משפחה קובעת כדלקמן:</w:t>
      </w:r>
    </w:p>
    <w:p w:rsidR="007221B9" w:rsidRDefault="007221B9" w:rsidP="007221B9">
      <w:pPr>
        <w:pStyle w:val="af"/>
        <w:rPr>
          <w:rFonts w:ascii="David" w:hAnsi="David" w:cs="David"/>
          <w:sz w:val="24"/>
          <w:szCs w:val="24"/>
        </w:rPr>
      </w:pPr>
    </w:p>
    <w:p w:rsidR="007221B9" w:rsidRDefault="007221B9" w:rsidP="007221B9">
      <w:pPr>
        <w:pStyle w:val="af"/>
        <w:spacing w:line="360" w:lineRule="auto"/>
        <w:ind w:left="1076" w:right="709"/>
        <w:jc w:val="both"/>
        <w:rPr>
          <w:rFonts w:ascii="David" w:hAnsi="David" w:cs="David"/>
          <w:sz w:val="24"/>
          <w:szCs w:val="24"/>
          <w:rtl/>
        </w:rPr>
      </w:pPr>
      <w:r>
        <w:rPr>
          <w:rFonts w:ascii="David" w:hAnsi="David" w:cs="David"/>
          <w:sz w:val="24"/>
          <w:szCs w:val="24"/>
          <w:rtl/>
        </w:rPr>
        <w:t>"בעניין מענייני משפחה הנוגע לקטין... רשאי הקטין, בעצמו או על ידי ידיד קרוב, להגיש תובענה כאמור בכל עניין שבו עלולה זכותו להיפגע פגיעה של ממש; לעניין סעיף זה, "הגשת תובענה" לרבות הגשת בקשה במסגרת תובענה שהוגשה על ידי אחר ולרבות הופעה בבית המשפט....".</w:t>
      </w:r>
    </w:p>
    <w:p w:rsidR="007221B9" w:rsidRDefault="007221B9" w:rsidP="007221B9">
      <w:pPr>
        <w:pStyle w:val="af"/>
        <w:spacing w:line="360" w:lineRule="auto"/>
        <w:jc w:val="both"/>
        <w:rPr>
          <w:rFonts w:ascii="David" w:hAnsi="David" w:cs="David"/>
          <w:sz w:val="24"/>
          <w:szCs w:val="24"/>
          <w:rtl/>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הוראה זו אכן מקנה לקטין, לרבות באמצעות ידיד, זכות תביעה בכל עניין שבו עלולה זכותו להיפגע פגיעה של ממש. כפי שקבעה חברתי, כב' השופט א' ונקרט בתמ"ש 23844-11-20 </w:t>
      </w:r>
      <w:r>
        <w:rPr>
          <w:rFonts w:ascii="David" w:hAnsi="David" w:cs="David"/>
          <w:b/>
          <w:bCs/>
          <w:sz w:val="24"/>
          <w:szCs w:val="24"/>
          <w:rtl/>
        </w:rPr>
        <w:t>אלמוני נגד פלוני</w:t>
      </w:r>
      <w:r>
        <w:rPr>
          <w:rFonts w:ascii="David" w:hAnsi="David" w:cs="David"/>
          <w:sz w:val="24"/>
          <w:szCs w:val="24"/>
          <w:rtl/>
        </w:rPr>
        <w:t>, נבו, ניתן ביום 23.2.2, עת נדרשה לתביעת קטינה לקבל טיפול הורמונלי לשינוי מגרי בניגוד לעמדת אביה:</w:t>
      </w:r>
    </w:p>
    <w:p w:rsidR="007221B9" w:rsidRPr="0004352A" w:rsidRDefault="007221B9" w:rsidP="007221B9">
      <w:pPr>
        <w:pStyle w:val="af"/>
        <w:spacing w:line="360" w:lineRule="auto"/>
        <w:jc w:val="both"/>
        <w:rPr>
          <w:rFonts w:ascii="David" w:hAnsi="David" w:cs="David"/>
          <w:sz w:val="24"/>
          <w:szCs w:val="24"/>
        </w:rPr>
      </w:pPr>
    </w:p>
    <w:p w:rsidR="007221B9" w:rsidRDefault="007221B9" w:rsidP="007221B9">
      <w:pPr>
        <w:pStyle w:val="af"/>
        <w:spacing w:before="100" w:beforeAutospacing="1" w:after="100" w:afterAutospacing="1" w:line="360" w:lineRule="auto"/>
        <w:ind w:left="1218" w:right="709"/>
        <w:jc w:val="both"/>
        <w:rPr>
          <w:rFonts w:ascii="David" w:hAnsi="David" w:cs="David"/>
          <w:b/>
          <w:bCs/>
          <w:sz w:val="24"/>
          <w:szCs w:val="24"/>
        </w:rPr>
      </w:pPr>
      <w:r w:rsidRPr="0004352A">
        <w:rPr>
          <w:rFonts w:ascii="David" w:hAnsi="David" w:cs="David"/>
          <w:sz w:val="24"/>
          <w:szCs w:val="24"/>
          <w:rtl/>
        </w:rPr>
        <w:t xml:space="preserve">"... יש שהמאבק בין ההורים מעורר חשש ממשי כי טובתו של הילד תיזנח וזכותו לייצוג הולם תיפגע. במקרים אלה - מקרים של ניגוד עניינים בין ההורים לבין הילד - קמה ועומדת זכותו של הילד לייצוג עצמאי ונפרד משל הוריו (ראה- עוד: </w:t>
      </w:r>
      <w:hyperlink r:id="rId10" w:history="1">
        <w:r w:rsidRPr="0004352A">
          <w:rPr>
            <w:rStyle w:val="Hyperlink"/>
            <w:rFonts w:ascii="David" w:hAnsi="David" w:cs="David"/>
            <w:color w:val="auto"/>
            <w:sz w:val="24"/>
            <w:szCs w:val="24"/>
            <w:u w:val="none"/>
            <w:rtl/>
          </w:rPr>
          <w:t>ע"א 878/96</w:t>
        </w:r>
      </w:hyperlink>
      <w:r w:rsidRPr="0004352A">
        <w:rPr>
          <w:rFonts w:ascii="David" w:hAnsi="David" w:cs="David"/>
          <w:sz w:val="24"/>
          <w:szCs w:val="24"/>
          <w:rtl/>
        </w:rPr>
        <w:t xml:space="preserve"> </w:t>
      </w:r>
      <w:r w:rsidRPr="0004352A">
        <w:rPr>
          <w:rFonts w:ascii="David" w:hAnsi="David" w:cs="David"/>
          <w:b/>
          <w:bCs/>
          <w:sz w:val="24"/>
          <w:szCs w:val="24"/>
          <w:rtl/>
        </w:rPr>
        <w:t>פוזילוב נ' פוזילוב,</w:t>
      </w:r>
      <w:r w:rsidRPr="0004352A">
        <w:rPr>
          <w:rFonts w:ascii="David" w:hAnsi="David" w:cs="David"/>
          <w:sz w:val="24"/>
          <w:szCs w:val="24"/>
          <w:rtl/>
        </w:rPr>
        <w:t xml:space="preserve"> פ</w:t>
      </w:r>
      <w:r>
        <w:rPr>
          <w:rFonts w:ascii="David" w:hAnsi="David" w:cs="David"/>
          <w:sz w:val="24"/>
          <w:szCs w:val="24"/>
          <w:rtl/>
        </w:rPr>
        <w:t xml:space="preserve">"ד נ(5) 208, 215-214).  </w:t>
      </w:r>
      <w:r>
        <w:rPr>
          <w:rFonts w:ascii="David" w:hAnsi="David" w:cs="David"/>
          <w:b/>
          <w:bCs/>
          <w:sz w:val="24"/>
          <w:szCs w:val="24"/>
          <w:rtl/>
        </w:rPr>
        <w:t>וככלל, בסוגיות הקשורות בנושא חינוכו של קטין –סוגיות שיש בהן כדי להשליך במישרין על עתידו ודרך חייו- יש להעניק לקטין את זכותו להביע דעתו.</w:t>
      </w:r>
    </w:p>
    <w:p w:rsidR="007221B9" w:rsidRDefault="007221B9" w:rsidP="007221B9">
      <w:pPr>
        <w:pStyle w:val="af"/>
        <w:spacing w:line="360" w:lineRule="auto"/>
        <w:ind w:left="1218" w:right="709"/>
        <w:jc w:val="both"/>
        <w:rPr>
          <w:rFonts w:ascii="David" w:hAnsi="David" w:cs="David"/>
          <w:sz w:val="24"/>
          <w:szCs w:val="24"/>
          <w:rtl/>
        </w:rPr>
      </w:pPr>
      <w:r>
        <w:rPr>
          <w:rFonts w:ascii="David" w:hAnsi="David" w:cs="David"/>
          <w:sz w:val="24"/>
          <w:szCs w:val="24"/>
          <w:rtl/>
        </w:rPr>
        <w:t>מהאמור לעיל עולה, באופן שאינו משתמע לשתי פנים, כי מגמת המחוקק והפסיקה הינה לראות בקטינים כמושאים לזכויות וכי לייצוגו העצמאי של הקטין בנסיבות מסויימות יכול ותהא חשיבות חוקתית מירבית" (ההדגשות במקור).</w:t>
      </w:r>
    </w:p>
    <w:p w:rsidR="007221B9" w:rsidRDefault="007221B9" w:rsidP="007221B9">
      <w:pPr>
        <w:pStyle w:val="af"/>
        <w:spacing w:line="360" w:lineRule="auto"/>
        <w:jc w:val="both"/>
        <w:rPr>
          <w:rFonts w:ascii="David" w:hAnsi="David" w:cs="David"/>
          <w:sz w:val="24"/>
          <w:szCs w:val="24"/>
          <w:rtl/>
        </w:rPr>
      </w:pPr>
    </w:p>
    <w:p w:rsidR="007221B9" w:rsidRDefault="007221B9" w:rsidP="0004352A">
      <w:pPr>
        <w:pStyle w:val="af"/>
        <w:numPr>
          <w:ilvl w:val="0"/>
          <w:numId w:val="1"/>
        </w:numPr>
        <w:spacing w:line="360" w:lineRule="auto"/>
        <w:jc w:val="both"/>
        <w:rPr>
          <w:rFonts w:ascii="David" w:hAnsi="David" w:cs="David"/>
          <w:b/>
          <w:bCs/>
          <w:sz w:val="24"/>
          <w:szCs w:val="24"/>
        </w:rPr>
      </w:pPr>
      <w:r>
        <w:rPr>
          <w:rFonts w:ascii="David" w:hAnsi="David" w:cs="David"/>
          <w:sz w:val="24"/>
          <w:szCs w:val="24"/>
          <w:rtl/>
        </w:rPr>
        <w:t xml:space="preserve">אציין כי מצאתי </w:t>
      </w:r>
      <w:r w:rsidR="0004352A">
        <w:rPr>
          <w:rFonts w:ascii="David" w:hAnsi="David" w:cs="David" w:hint="cs"/>
          <w:sz w:val="24"/>
          <w:szCs w:val="24"/>
          <w:rtl/>
        </w:rPr>
        <w:t xml:space="preserve">שגם </w:t>
      </w:r>
      <w:r>
        <w:rPr>
          <w:rFonts w:ascii="David" w:hAnsi="David" w:cs="David"/>
          <w:sz w:val="24"/>
          <w:szCs w:val="24"/>
          <w:rtl/>
        </w:rPr>
        <w:t xml:space="preserve">אני עצמי נדרשתי בעבר לתביעת קטינה כבת 16 שנים, שהוגשה באמצעות אפוטרופוס לדין שמונה לה בהליכים בבית המשפט לנוער, </w:t>
      </w:r>
      <w:r w:rsidR="0004352A">
        <w:rPr>
          <w:rFonts w:ascii="David" w:hAnsi="David" w:cs="David" w:hint="cs"/>
          <w:sz w:val="24"/>
          <w:szCs w:val="24"/>
          <w:rtl/>
        </w:rPr>
        <w:t xml:space="preserve">שבה עתרה </w:t>
      </w:r>
      <w:r>
        <w:rPr>
          <w:rFonts w:ascii="David" w:hAnsi="David" w:cs="David"/>
          <w:sz w:val="24"/>
          <w:szCs w:val="24"/>
          <w:rtl/>
        </w:rPr>
        <w:t>לאפשר לה לקבל חיסון נגד נגיף הקורונה בניגוד לעמדת אביה, וקיבלתי את תביעתה (</w:t>
      </w:r>
      <w:sdt>
        <w:sdtPr>
          <w:rPr>
            <w:rFonts w:ascii="David" w:hAnsi="David" w:cs="David"/>
            <w:sz w:val="24"/>
            <w:szCs w:val="24"/>
            <w:rtl/>
          </w:rPr>
          <w:alias w:val="1170"/>
          <w:tag w:val="1170"/>
          <w:id w:val="-1240940633"/>
          <w:text w:multiLine="1"/>
        </w:sdtPr>
        <w:sdtEndPr/>
        <w:sdtContent>
          <w:r>
            <w:rPr>
              <w:rFonts w:ascii="David" w:hAnsi="David" w:cs="David"/>
              <w:sz w:val="24"/>
              <w:szCs w:val="24"/>
              <w:rtl/>
            </w:rPr>
            <w:t>תמ"ש</w:t>
          </w:r>
          <w:r w:rsidR="003D0D4E">
            <w:rPr>
              <w:rFonts w:ascii="David" w:hAnsi="David" w:cs="David"/>
              <w:sz w:val="24"/>
              <w:szCs w:val="24"/>
              <w:rtl/>
            </w:rPr>
            <w:br/>
          </w:r>
        </w:sdtContent>
      </w:sdt>
      <w:r>
        <w:rPr>
          <w:rFonts w:ascii="David" w:hAnsi="David" w:cs="David"/>
          <w:sz w:val="24"/>
          <w:szCs w:val="24"/>
          <w:rtl/>
        </w:rPr>
        <w:t xml:space="preserve"> </w:t>
      </w:r>
      <w:sdt>
        <w:sdtPr>
          <w:rPr>
            <w:rFonts w:ascii="David" w:hAnsi="David" w:cs="David"/>
            <w:sz w:val="24"/>
            <w:szCs w:val="24"/>
            <w:rtl/>
          </w:rPr>
          <w:alias w:val="1171"/>
          <w:tag w:val="1171"/>
          <w:id w:val="-1122917173"/>
          <w:text w:multiLine="1"/>
        </w:sdtPr>
        <w:sdtEndPr/>
        <w:sdtContent>
          <w:r>
            <w:rPr>
              <w:rFonts w:ascii="David" w:hAnsi="David" w:cs="David"/>
              <w:sz w:val="24"/>
              <w:szCs w:val="24"/>
              <w:rtl/>
            </w:rPr>
            <w:t>39326-12-21</w:t>
          </w:r>
        </w:sdtContent>
      </w:sdt>
      <w:r>
        <w:rPr>
          <w:rFonts w:ascii="David" w:hAnsi="David" w:cs="David"/>
          <w:b/>
          <w:bCs/>
          <w:sz w:val="24"/>
          <w:szCs w:val="24"/>
          <w:rtl/>
        </w:rPr>
        <w:t xml:space="preserve"> </w:t>
      </w:r>
      <w:sdt>
        <w:sdtPr>
          <w:rPr>
            <w:rFonts w:ascii="David" w:hAnsi="David" w:cs="David"/>
            <w:sz w:val="24"/>
            <w:szCs w:val="24"/>
            <w:rtl/>
          </w:rPr>
          <w:alias w:val="1172"/>
          <w:tag w:val="1172"/>
          <w:id w:val="1658414112"/>
          <w:text w:multiLine="1"/>
        </w:sdtPr>
        <w:sdtEndPr/>
        <w:sdtContent>
          <w:r>
            <w:rPr>
              <w:rFonts w:ascii="David" w:hAnsi="David" w:cs="David"/>
              <w:b/>
              <w:bCs/>
              <w:sz w:val="24"/>
              <w:szCs w:val="24"/>
              <w:rtl/>
            </w:rPr>
            <w:t xml:space="preserve">פלונית נגד אלמוני </w:t>
          </w:r>
          <w:r>
            <w:rPr>
              <w:rFonts w:ascii="David" w:hAnsi="David" w:cs="David"/>
              <w:sz w:val="24"/>
              <w:szCs w:val="24"/>
              <w:rtl/>
            </w:rPr>
            <w:t>(לא פורסם), ניתן ביום 3.1.22).</w:t>
          </w:r>
        </w:sdtContent>
      </w:sdt>
    </w:p>
    <w:p w:rsidR="007221B9" w:rsidRDefault="007221B9" w:rsidP="007221B9">
      <w:pPr>
        <w:pStyle w:val="af"/>
        <w:spacing w:line="360" w:lineRule="auto"/>
        <w:jc w:val="both"/>
        <w:rPr>
          <w:rFonts w:ascii="David" w:hAnsi="David" w:cs="David"/>
          <w:sz w:val="24"/>
          <w:szCs w:val="24"/>
          <w:rtl/>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מכאן, שאני מקבלת את טענת המבקשת לעניין מעמדה בהגשת תביעה</w:t>
      </w:r>
      <w:r w:rsidR="0004352A">
        <w:rPr>
          <w:rFonts w:ascii="David" w:hAnsi="David" w:cs="David" w:hint="cs"/>
          <w:sz w:val="24"/>
          <w:szCs w:val="24"/>
          <w:rtl/>
        </w:rPr>
        <w:t xml:space="preserve"> כ"ידיד קרוב" של הקטינות</w:t>
      </w:r>
      <w:r>
        <w:rPr>
          <w:rFonts w:ascii="David" w:hAnsi="David" w:cs="David"/>
          <w:sz w:val="24"/>
          <w:szCs w:val="24"/>
          <w:rtl/>
        </w:rPr>
        <w:t>.</w:t>
      </w:r>
    </w:p>
    <w:p w:rsidR="007221B9" w:rsidRPr="0004352A"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במאמר מוסגר אציין כי מסופקתני אם הוראת סע' 68(א) לחוק הכשרות מהווה מקור סמכות נוסף להגשת התביעה דנן. הוראה זו ברגיל מאפשרת לבית המשפט לתן הוראות לנקיטת אמצעים זמניים לשמירת טובתו של קטין, אגב הליך משפטי שמתנהל בין הוריו, למשל, שעה שעסקינן בסכסוך עצים בין ההורים, ועולה חשש כי טובתו של הקטין "נבלעת" בסכסוך. במקרה כזה, יש ובית המשפט מורה על מינוי אפוטרופוס לדין שיביא את קולו של הקטין מצד אחד, ואת טובתו, כפי שהיא משתקפת בעיניו, מצד אחר  (שהרי אין חפיפה בהכרח בין רצון הקטין לטובתו), וזאת, בין ביזמתו, ובין ביזמת מי מההורים, או גורם מקצועי המעורב בתיק, או שניתנת הוראה זמנית אחרת לשמירת עניינו של קטין. ברם, סעיף זה לא יכול להוות לטעמי בסיס להגשת הליך</w:t>
      </w:r>
      <w:r>
        <w:rPr>
          <w:rFonts w:ascii="David" w:hAnsi="David" w:cs="David"/>
          <w:b/>
          <w:bCs/>
          <w:sz w:val="24"/>
          <w:szCs w:val="24"/>
          <w:rtl/>
        </w:rPr>
        <w:t xml:space="preserve"> ראשי</w:t>
      </w:r>
      <w:r>
        <w:rPr>
          <w:rFonts w:ascii="David" w:hAnsi="David" w:cs="David"/>
          <w:sz w:val="24"/>
          <w:szCs w:val="24"/>
          <w:rtl/>
        </w:rPr>
        <w:t xml:space="preserve"> </w:t>
      </w:r>
      <w:r>
        <w:rPr>
          <w:rFonts w:ascii="David" w:hAnsi="David" w:cs="David"/>
          <w:b/>
          <w:bCs/>
          <w:sz w:val="24"/>
          <w:szCs w:val="24"/>
          <w:rtl/>
        </w:rPr>
        <w:t>עצמאי</w:t>
      </w:r>
      <w:r>
        <w:rPr>
          <w:rFonts w:ascii="David" w:hAnsi="David" w:cs="David"/>
          <w:sz w:val="24"/>
          <w:szCs w:val="24"/>
          <w:rtl/>
        </w:rPr>
        <w:t xml:space="preserve"> על ידי מי שרואה עצמו כ"צד מעוניין", שאחרת, ניתן יהיה לכאורה לפגוע בסמכות ההורית ובאוטונומיה ההורית</w:t>
      </w:r>
      <w:r w:rsidR="00D041BF">
        <w:rPr>
          <w:rFonts w:ascii="David" w:hAnsi="David" w:cs="David" w:hint="cs"/>
          <w:sz w:val="24"/>
          <w:szCs w:val="24"/>
          <w:rtl/>
        </w:rPr>
        <w:t xml:space="preserve"> על ידי הגשת תביעות נוספות על אלו שמתנהלות או התנהלו בין ההורים, ותוך העמסת הליכי כפל על בית המשפט</w:t>
      </w:r>
      <w:r>
        <w:rPr>
          <w:rFonts w:ascii="David" w:hAnsi="David" w:cs="David"/>
          <w:sz w:val="24"/>
          <w:szCs w:val="24"/>
          <w:rtl/>
        </w:rPr>
        <w:t>.</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לעניין זה יוזכר כי בהתאם לסע' 14 לחוק הכשרות, ההורים הם האפוטרופסים הטבעיים של ילדיהם הקטינים. בהתאם לסעי' 15 לחוק, האפוטרופסות כוללת את החובה לדאוג, בין היתר, לצרכי הקטין, וצמודה לה הרשות להחזיק בקטין והסמכות לייצגו. בהתאם לסע' 25 </w:t>
      </w:r>
      <w:r>
        <w:rPr>
          <w:rFonts w:ascii="David" w:hAnsi="David" w:cs="David"/>
          <w:b/>
          <w:bCs/>
          <w:sz w:val="24"/>
          <w:szCs w:val="24"/>
          <w:rtl/>
        </w:rPr>
        <w:t>במקום שבו אין הסכמה בין ההורים בנוגע לקטין</w:t>
      </w:r>
      <w:r>
        <w:rPr>
          <w:rFonts w:ascii="David" w:hAnsi="David" w:cs="David"/>
          <w:sz w:val="24"/>
          <w:szCs w:val="24"/>
          <w:rtl/>
        </w:rPr>
        <w:t>, רשאי בית המשפט להכריע בעניין "כפי שייראה לו לטובת הקטין". במקרים המתאימים, בית המשפט ממנה עו"ס לסדרי דין או אפוטרופוס לדין, כדי לברר מהי טובת הקטין. על רקע האמור, ברור שככלל, ההתערבות באוטונומיה ההורית, נעשית רק במקרים חריגים (למשל, כשמתקיימות נסיבות למעורבות עו"ס חוק הנוער (טיפול והשגחה), התש"ך -1960 או לנקיטת הליך על ידי היועצת המשפטית לממשלה לפי חוק אימוץ, התשמ"א-1981).</w:t>
      </w:r>
    </w:p>
    <w:p w:rsidR="007221B9" w:rsidRDefault="007221B9" w:rsidP="007221B9">
      <w:pPr>
        <w:pStyle w:val="af"/>
        <w:rPr>
          <w:rFonts w:ascii="David" w:hAnsi="David" w:cs="David"/>
          <w:sz w:val="24"/>
          <w:szCs w:val="24"/>
        </w:rPr>
      </w:pPr>
    </w:p>
    <w:p w:rsidR="007221B9" w:rsidRDefault="007221B9" w:rsidP="007221B9">
      <w:pPr>
        <w:pStyle w:val="af"/>
        <w:spacing w:line="360" w:lineRule="auto"/>
        <w:jc w:val="both"/>
        <w:rPr>
          <w:rFonts w:ascii="David" w:hAnsi="David" w:cs="David"/>
          <w:b/>
          <w:bCs/>
          <w:sz w:val="24"/>
          <w:szCs w:val="24"/>
          <w:u w:val="single"/>
          <w:rtl/>
        </w:rPr>
      </w:pPr>
      <w:r>
        <w:rPr>
          <w:rFonts w:ascii="David" w:hAnsi="David" w:cs="David"/>
          <w:b/>
          <w:bCs/>
          <w:sz w:val="24"/>
          <w:szCs w:val="24"/>
          <w:u w:val="single"/>
          <w:rtl/>
        </w:rPr>
        <w:t xml:space="preserve">הסעדים שהתבקשו </w:t>
      </w:r>
    </w:p>
    <w:p w:rsidR="007221B9" w:rsidRDefault="007221B9" w:rsidP="007221B9">
      <w:pPr>
        <w:pStyle w:val="af"/>
        <w:spacing w:line="360" w:lineRule="auto"/>
        <w:jc w:val="both"/>
        <w:rPr>
          <w:rFonts w:ascii="David" w:hAnsi="David" w:cs="David"/>
          <w:sz w:val="24"/>
          <w:szCs w:val="24"/>
          <w:rtl/>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הקושי המרכזי שעמו לא הצליחה המבקשת להתמודד ולשכנע את בית המשפט, עניינו בכך שמטרת שלוש הבקשות היא להביא לשינוי זה פאקטו של פסק החוץ, שהורה על העברת המשמורת על הקטינות לידי האב בארה"ב.</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הטענות שמעלה המבקשת בבקשתה הן למעשה טענות ערעוריות </w:t>
      </w:r>
      <w:r w:rsidR="00D041BF">
        <w:rPr>
          <w:rFonts w:ascii="David" w:hAnsi="David" w:cs="David" w:hint="cs"/>
          <w:sz w:val="24"/>
          <w:szCs w:val="24"/>
          <w:rtl/>
        </w:rPr>
        <w:t xml:space="preserve">מובהקות באופיין </w:t>
      </w:r>
      <w:r>
        <w:rPr>
          <w:rFonts w:ascii="David" w:hAnsi="David" w:cs="David"/>
          <w:sz w:val="24"/>
          <w:szCs w:val="24"/>
          <w:rtl/>
        </w:rPr>
        <w:t>נגד פסק החוץ, בנימוק המרכזי כי הוא עומד בניגוד לטובת הקטינות מהטעמים שפירטה בבקשותיה. הסעד של מינוי אפוטרופוס לדין לקטינים</w:t>
      </w:r>
      <w:r w:rsidR="00D041BF">
        <w:rPr>
          <w:rFonts w:ascii="David" w:hAnsi="David" w:cs="David" w:hint="cs"/>
          <w:sz w:val="24"/>
          <w:szCs w:val="24"/>
          <w:rtl/>
        </w:rPr>
        <w:t>,</w:t>
      </w:r>
      <w:r>
        <w:rPr>
          <w:rFonts w:ascii="David" w:hAnsi="David" w:cs="David"/>
          <w:sz w:val="24"/>
          <w:szCs w:val="24"/>
          <w:rtl/>
        </w:rPr>
        <w:t xml:space="preserve"> שהתבקש בהליך העיקרי והסעד של שמיעת הקטינות באופן לא אמצעי</w:t>
      </w:r>
      <w:r w:rsidR="00D041BF">
        <w:rPr>
          <w:rFonts w:ascii="David" w:hAnsi="David" w:cs="David" w:hint="cs"/>
          <w:sz w:val="24"/>
          <w:szCs w:val="24"/>
          <w:rtl/>
        </w:rPr>
        <w:t>,</w:t>
      </w:r>
      <w:r>
        <w:rPr>
          <w:rFonts w:ascii="David" w:hAnsi="David" w:cs="David"/>
          <w:sz w:val="24"/>
          <w:szCs w:val="24"/>
          <w:rtl/>
        </w:rPr>
        <w:t xml:space="preserve"> שהתבקש בבקשה לשמיעת הקטינות, אינם אלא </w:t>
      </w:r>
      <w:r>
        <w:rPr>
          <w:rFonts w:ascii="David" w:hAnsi="David" w:cs="David"/>
          <w:b/>
          <w:bCs/>
          <w:sz w:val="24"/>
          <w:szCs w:val="24"/>
          <w:rtl/>
        </w:rPr>
        <w:t>אמצעים להביא לכך שבית המשפט ישתכנע כי לא זו בלבד שהקטינות, ולמצער שתי הקטינות הגדולות, מסרבות לחזור לאב, אלא כי הדבר מנוגד לחלוטין לטובתן, ועל כן, יש לעכב את יציאת האם והקטינות מהארץ, תוך סיכול יישומו של פסק החוץ</w:t>
      </w:r>
      <w:r>
        <w:rPr>
          <w:rFonts w:ascii="David" w:hAnsi="David" w:cs="David"/>
          <w:sz w:val="24"/>
          <w:szCs w:val="24"/>
          <w:rtl/>
        </w:rPr>
        <w:t>.</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דא עקא, אין חולק כי התקי</w:t>
      </w:r>
      <w:r w:rsidR="00402E4C">
        <w:rPr>
          <w:rFonts w:ascii="David" w:hAnsi="David" w:cs="David"/>
          <w:sz w:val="24"/>
          <w:szCs w:val="24"/>
          <w:rtl/>
        </w:rPr>
        <w:t>ים הליך בפני ערכאה מוסמכת ב</w:t>
      </w:r>
      <w:r w:rsidR="00402E4C">
        <w:rPr>
          <w:rFonts w:ascii="David" w:hAnsi="David" w:cs="David" w:hint="cs"/>
          <w:sz w:val="24"/>
          <w:szCs w:val="24"/>
          <w:rtl/>
        </w:rPr>
        <w:t>...</w:t>
      </w:r>
      <w:r>
        <w:rPr>
          <w:rFonts w:ascii="David" w:hAnsi="David" w:cs="David"/>
          <w:sz w:val="24"/>
          <w:szCs w:val="24"/>
          <w:rtl/>
        </w:rPr>
        <w:t>, וכי בית המשפט</w:t>
      </w:r>
      <w:r w:rsidR="00D041BF">
        <w:rPr>
          <w:rFonts w:ascii="David" w:hAnsi="David" w:cs="David" w:hint="cs"/>
          <w:sz w:val="24"/>
          <w:szCs w:val="24"/>
          <w:rtl/>
        </w:rPr>
        <w:t xml:space="preserve"> האמריקאי</w:t>
      </w:r>
      <w:r>
        <w:rPr>
          <w:rFonts w:ascii="David" w:hAnsi="David" w:cs="David"/>
          <w:sz w:val="24"/>
          <w:szCs w:val="24"/>
          <w:rtl/>
        </w:rPr>
        <w:t>, לאחר שמינה אפוטרופוס לדין, ונדרש למכלול נסיבות העניין</w:t>
      </w:r>
      <w:r w:rsidR="00D041BF">
        <w:rPr>
          <w:rFonts w:ascii="David" w:hAnsi="David" w:cs="David" w:hint="cs"/>
          <w:sz w:val="24"/>
          <w:szCs w:val="24"/>
          <w:rtl/>
        </w:rPr>
        <w:t>,</w:t>
      </w:r>
      <w:r>
        <w:rPr>
          <w:rFonts w:ascii="David" w:hAnsi="David" w:cs="David"/>
          <w:sz w:val="24"/>
          <w:szCs w:val="24"/>
          <w:rtl/>
        </w:rPr>
        <w:t xml:space="preserve"> במסגרת הליך סדור שהתקיים בין ההורים, שבו, כפי שניתן להבין, האם היתה מיוצגת, מצא להורות על העברת המשמורת על הקטינות לידי האב. לא זו אף זו, בקשה לעיכוב ביצוע שהגישה האם על פסק הדין נדחתה.</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על פסק הדין תלוי ועומד ערעור בפני ערכאה מוסמכת בארה"ב, ואת כל הטענות יש לברר במסגרתו, ביחסים שבין ההורים, בינם לבין עצמם, ולא במסגרת הליך עוקף ומסכל למעשה, בישראל, שהגישה המבקשת. ככל ומבוקש להשמיע את הקטינות במישרין לפני בית המשפט, הרי שניתן יהיה לפנות לבית המשפט המוסמך בארה"ב ולבקש כן, לאחר הגעת הקטינות לארה"ב.</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ודוק, גם במצב שבו טרם ניתן פסק דין על ידי פורום זר, ונתונה סמכות שיפוט ליותר ממדינה אחת</w:t>
      </w:r>
      <w:r w:rsidR="00D041BF">
        <w:rPr>
          <w:rFonts w:ascii="David" w:hAnsi="David" w:cs="David" w:hint="cs"/>
          <w:sz w:val="24"/>
          <w:szCs w:val="24"/>
          <w:rtl/>
        </w:rPr>
        <w:t>, מצב ש</w:t>
      </w:r>
      <w:r>
        <w:rPr>
          <w:rFonts w:ascii="David" w:hAnsi="David" w:cs="David"/>
          <w:sz w:val="24"/>
          <w:szCs w:val="24"/>
          <w:rtl/>
        </w:rPr>
        <w:t xml:space="preserve">עלול להביא להתדיינות מקבילה בעניין סכסוך זהה </w:t>
      </w:r>
      <w:r>
        <w:rPr>
          <w:rFonts w:ascii="David" w:hAnsi="David" w:cs="David"/>
          <w:sz w:val="24"/>
          <w:szCs w:val="24"/>
        </w:rPr>
        <w:t>(</w:t>
      </w:r>
      <w:r>
        <w:rPr>
          <w:rFonts w:ascii="David" w:hAnsi="David" w:cs="David"/>
          <w:b/>
          <w:bCs/>
          <w:sz w:val="24"/>
          <w:szCs w:val="24"/>
        </w:rPr>
        <w:t>Parallel proceedings</w:t>
      </w:r>
      <w:r>
        <w:rPr>
          <w:rFonts w:ascii="David" w:hAnsi="David" w:cs="David"/>
          <w:sz w:val="24"/>
          <w:szCs w:val="24"/>
        </w:rPr>
        <w:t>)</w:t>
      </w:r>
      <w:r>
        <w:rPr>
          <w:rFonts w:ascii="David" w:hAnsi="David" w:cs="David"/>
          <w:sz w:val="24"/>
          <w:szCs w:val="24"/>
          <w:rtl/>
        </w:rPr>
        <w:t>, בית המשפט שבו מתנהל ההליך המקביל, רשאי לעכב את הדיון שלפניו לטובת ההתדיינות לפני הפורום הזר, ולחילופין, להביא להוצאת צו חוסם</w:t>
      </w:r>
      <w:r>
        <w:rPr>
          <w:rFonts w:ascii="David" w:hAnsi="David" w:cs="David"/>
          <w:b/>
          <w:bCs/>
          <w:sz w:val="24"/>
          <w:szCs w:val="24"/>
          <w:rtl/>
        </w:rPr>
        <w:t xml:space="preserve"> (</w:t>
      </w:r>
      <w:r>
        <w:rPr>
          <w:rFonts w:ascii="David" w:hAnsi="David" w:cs="David"/>
          <w:b/>
          <w:bCs/>
          <w:sz w:val="24"/>
          <w:szCs w:val="24"/>
        </w:rPr>
        <w:t>anti-suit injunction</w:t>
      </w:r>
      <w:r>
        <w:rPr>
          <w:rFonts w:ascii="David" w:hAnsi="David" w:cs="David"/>
          <w:b/>
          <w:bCs/>
          <w:sz w:val="24"/>
          <w:szCs w:val="24"/>
          <w:rtl/>
        </w:rPr>
        <w:t>)</w:t>
      </w:r>
      <w:r>
        <w:rPr>
          <w:rFonts w:ascii="David" w:hAnsi="David" w:cs="David"/>
          <w:sz w:val="24"/>
          <w:szCs w:val="24"/>
          <w:rtl/>
        </w:rPr>
        <w:t xml:space="preserve"> המורה ליוזם ההליך שלפניו להביא להפסקת ההליך בפורום הזר. לבית המשפט שיקול דעת רחב </w:t>
      </w:r>
      <w:r w:rsidRPr="00D041BF">
        <w:rPr>
          <w:rFonts w:ascii="David" w:hAnsi="David" w:cs="David"/>
          <w:sz w:val="24"/>
          <w:szCs w:val="24"/>
          <w:rtl/>
        </w:rPr>
        <w:t>בעניין זה, וכפי שנקבע ב</w:t>
      </w:r>
      <w:hyperlink r:id="rId11" w:history="1">
        <w:r w:rsidRPr="00D041BF">
          <w:rPr>
            <w:rStyle w:val="Hyperlink"/>
            <w:rFonts w:ascii="David" w:hAnsi="David" w:cs="David"/>
            <w:color w:val="auto"/>
            <w:sz w:val="24"/>
            <w:szCs w:val="24"/>
            <w:u w:val="none"/>
            <w:rtl/>
          </w:rPr>
          <w:t>ע"א 7138/16</w:t>
        </w:r>
      </w:hyperlink>
      <w:r w:rsidRPr="00D041BF">
        <w:rPr>
          <w:rFonts w:ascii="David" w:hAnsi="David" w:cs="David"/>
          <w:sz w:val="24"/>
          <w:szCs w:val="24"/>
          <w:rtl/>
        </w:rPr>
        <w:t xml:space="preserve"> </w:t>
      </w:r>
      <w:r w:rsidRPr="00D041BF">
        <w:rPr>
          <w:rFonts w:ascii="David" w:hAnsi="David" w:cs="David"/>
          <w:b/>
          <w:bCs/>
          <w:sz w:val="24"/>
          <w:szCs w:val="24"/>
        </w:rPr>
        <w:t>PRAXIS ENERGY AGENTS</w:t>
      </w:r>
      <w:r w:rsidRPr="00D041BF">
        <w:rPr>
          <w:rFonts w:ascii="David" w:hAnsi="David" w:cs="David"/>
          <w:sz w:val="24"/>
          <w:szCs w:val="24"/>
        </w:rPr>
        <w:t xml:space="preserve"> </w:t>
      </w:r>
      <w:r w:rsidRPr="00D041BF">
        <w:rPr>
          <w:rFonts w:ascii="David" w:hAnsi="David" w:cs="David"/>
          <w:b/>
          <w:bCs/>
          <w:sz w:val="24"/>
          <w:szCs w:val="24"/>
        </w:rPr>
        <w:t>GMBH</w:t>
      </w:r>
      <w:r w:rsidRPr="00D041BF">
        <w:rPr>
          <w:rFonts w:ascii="David" w:hAnsi="David" w:cs="David"/>
          <w:b/>
          <w:bCs/>
          <w:sz w:val="24"/>
          <w:szCs w:val="24"/>
          <w:rtl/>
        </w:rPr>
        <w:t xml:space="preserve"> נ' </w:t>
      </w:r>
      <w:r>
        <w:rPr>
          <w:rFonts w:ascii="David" w:hAnsi="David" w:cs="David"/>
          <w:b/>
          <w:bCs/>
          <w:sz w:val="24"/>
          <w:szCs w:val="24"/>
          <w:rtl/>
        </w:rPr>
        <w:t xml:space="preserve">האונייה </w:t>
      </w:r>
      <w:r>
        <w:rPr>
          <w:rFonts w:ascii="David" w:hAnsi="David" w:cs="David"/>
          <w:b/>
          <w:bCs/>
          <w:sz w:val="24"/>
          <w:szCs w:val="24"/>
        </w:rPr>
        <w:t>M/V CAPTAIN HARRY</w:t>
      </w:r>
      <w:r>
        <w:rPr>
          <w:rFonts w:ascii="David" w:hAnsi="David" w:cs="David"/>
          <w:sz w:val="24"/>
          <w:szCs w:val="24"/>
          <w:rtl/>
        </w:rPr>
        <w:t xml:space="preserve"> [נבו, ניתן ביום 7.5.18]: </w:t>
      </w:r>
    </w:p>
    <w:p w:rsidR="007221B9" w:rsidRDefault="007221B9" w:rsidP="007221B9">
      <w:pPr>
        <w:pStyle w:val="af"/>
        <w:rPr>
          <w:rFonts w:ascii="David" w:hAnsi="David" w:cs="David"/>
          <w:spacing w:val="10"/>
          <w:sz w:val="24"/>
          <w:szCs w:val="24"/>
        </w:rPr>
      </w:pPr>
    </w:p>
    <w:p w:rsidR="007221B9" w:rsidRDefault="007221B9" w:rsidP="007221B9">
      <w:pPr>
        <w:pStyle w:val="af"/>
        <w:spacing w:line="360" w:lineRule="auto"/>
        <w:ind w:left="1360" w:right="567"/>
        <w:jc w:val="both"/>
        <w:rPr>
          <w:rFonts w:ascii="David" w:hAnsi="David" w:cs="David"/>
          <w:sz w:val="24"/>
          <w:szCs w:val="24"/>
          <w:rtl/>
        </w:rPr>
      </w:pPr>
      <w:r>
        <w:rPr>
          <w:rFonts w:ascii="David" w:hAnsi="David" w:cs="David"/>
          <w:spacing w:val="10"/>
          <w:sz w:val="24"/>
          <w:szCs w:val="24"/>
          <w:rtl/>
        </w:rPr>
        <w:t>"רשאי בית המשפט, בהתאם לשיקול דעתו, להימנע מלדון בתביעה מן הטעם שישנו הליך אחר המתברר בבית משפט אחר, לרבות במדינה זרה באותו עניין. בין היתר, ישקול בית המשפט אם המשך הדיון בהליך בארץ יגרום עוול לנתבע ויטרידו. שיקולים של ייעול ההליכים ומניעת הליכי סרק, חסכון בזמן שיפוטי ומניעת הכרעות סותרות כמו גם הפורום הראוי ומיקום העדים יילקחו אף הם בחשבון. מנגד, תיבחן זכותו של התובע להגיש את תביעתו, תום ליבו של מבקש עיכוב ההליכים, יעילות ההליכים בבית המשפט הזר, זכויותיו ומעמדו של התובע בבית המשפט הזר וההבדלים בין שיטות המשפט</w:t>
      </w:r>
      <w:r>
        <w:rPr>
          <w:rFonts w:ascii="David" w:hAnsi="David" w:cs="David"/>
          <w:sz w:val="24"/>
          <w:szCs w:val="24"/>
          <w:rtl/>
        </w:rPr>
        <w:t>..."</w:t>
      </w:r>
      <w:r>
        <w:rPr>
          <w:rFonts w:ascii="David" w:hAnsi="David"/>
          <w:b/>
          <w:bCs/>
          <w:rtl/>
        </w:rPr>
        <w:t xml:space="preserve"> </w:t>
      </w:r>
      <w:r>
        <w:rPr>
          <w:rFonts w:ascii="David" w:hAnsi="David"/>
          <w:rtl/>
        </w:rPr>
        <w:t xml:space="preserve">(עמ' 12). </w:t>
      </w:r>
    </w:p>
    <w:p w:rsidR="007221B9" w:rsidRDefault="007221B9" w:rsidP="007221B9">
      <w:pPr>
        <w:pStyle w:val="af"/>
        <w:rPr>
          <w:rFonts w:ascii="David" w:hAnsi="David" w:cs="David"/>
          <w:sz w:val="24"/>
          <w:szCs w:val="24"/>
        </w:rPr>
      </w:pPr>
    </w:p>
    <w:p w:rsidR="007221B9" w:rsidRPr="00FC7CF7" w:rsidRDefault="007221B9" w:rsidP="007221B9">
      <w:pPr>
        <w:pStyle w:val="af"/>
        <w:numPr>
          <w:ilvl w:val="0"/>
          <w:numId w:val="1"/>
        </w:numPr>
        <w:spacing w:line="360" w:lineRule="auto"/>
        <w:jc w:val="both"/>
        <w:rPr>
          <w:rFonts w:ascii="David" w:hAnsi="David" w:cs="David"/>
          <w:sz w:val="24"/>
          <w:szCs w:val="24"/>
          <w:rtl/>
        </w:rPr>
      </w:pPr>
      <w:r w:rsidRPr="00D041BF">
        <w:rPr>
          <w:rFonts w:ascii="David" w:hAnsi="David" w:cs="David"/>
          <w:sz w:val="24"/>
          <w:szCs w:val="24"/>
          <w:rtl/>
        </w:rPr>
        <w:t xml:space="preserve">עוד ראו </w:t>
      </w:r>
      <w:hyperlink r:id="rId12" w:history="1">
        <w:r w:rsidRPr="00FC7CF7">
          <w:rPr>
            <w:rStyle w:val="Hyperlink"/>
            <w:rFonts w:ascii="David" w:hAnsi="David" w:cs="David"/>
            <w:color w:val="auto"/>
            <w:sz w:val="24"/>
            <w:szCs w:val="24"/>
            <w:u w:val="none"/>
            <w:rtl/>
          </w:rPr>
          <w:t xml:space="preserve">רע"א 778/03 </w:t>
        </w:r>
        <w:r w:rsidRPr="00FC7CF7">
          <w:rPr>
            <w:rStyle w:val="Hyperlink"/>
            <w:rFonts w:ascii="David" w:hAnsi="David" w:cs="David"/>
            <w:b/>
            <w:bCs/>
            <w:color w:val="auto"/>
            <w:sz w:val="24"/>
            <w:szCs w:val="24"/>
            <w:u w:val="none"/>
            <w:rtl/>
          </w:rPr>
          <w:t xml:space="preserve">אינטר-לאב בע"מ נ' </w:t>
        </w:r>
        <w:r w:rsidRPr="00FC7CF7">
          <w:rPr>
            <w:rStyle w:val="Hyperlink"/>
            <w:rFonts w:ascii="David" w:hAnsi="David" w:cs="David"/>
            <w:b/>
            <w:bCs/>
            <w:color w:val="auto"/>
            <w:sz w:val="24"/>
            <w:szCs w:val="24"/>
            <w:u w:val="none"/>
          </w:rPr>
          <w:t>Israel Bio Engineering Project</w:t>
        </w:r>
        <w:r w:rsidRPr="00FC7CF7">
          <w:rPr>
            <w:rStyle w:val="Hyperlink"/>
            <w:rFonts w:ascii="David" w:hAnsi="David" w:cs="David"/>
            <w:color w:val="auto"/>
            <w:sz w:val="24"/>
            <w:szCs w:val="24"/>
            <w:u w:val="none"/>
            <w:rtl/>
          </w:rPr>
          <w:t xml:space="preserve">, </w:t>
        </w:r>
        <w:r w:rsidR="00FC7CF7" w:rsidRPr="00FC7CF7">
          <w:rPr>
            <w:rStyle w:val="Hyperlink"/>
            <w:rFonts w:ascii="David" w:hAnsi="David" w:cs="David" w:hint="cs"/>
            <w:color w:val="auto"/>
            <w:sz w:val="24"/>
            <w:szCs w:val="24"/>
            <w:u w:val="none"/>
            <w:rtl/>
          </w:rPr>
          <w:t xml:space="preserve">פד"י </w:t>
        </w:r>
        <w:r w:rsidRPr="00FC7CF7">
          <w:rPr>
            <w:rStyle w:val="Hyperlink"/>
            <w:rFonts w:ascii="David" w:hAnsi="David" w:cs="David"/>
            <w:color w:val="auto"/>
            <w:sz w:val="24"/>
            <w:szCs w:val="24"/>
            <w:u w:val="none"/>
            <w:rtl/>
          </w:rPr>
          <w:t>נז</w:t>
        </w:r>
      </w:hyperlink>
      <w:r w:rsidRPr="00FC7CF7">
        <w:rPr>
          <w:rFonts w:ascii="David" w:hAnsi="David" w:cs="David"/>
          <w:sz w:val="24"/>
          <w:szCs w:val="24"/>
          <w:rtl/>
        </w:rPr>
        <w:t xml:space="preserve"> (5) 769, 773 (2003), שם נקבע:</w:t>
      </w:r>
    </w:p>
    <w:p w:rsidR="007221B9" w:rsidRDefault="007221B9" w:rsidP="003D0D4E">
      <w:pPr>
        <w:pStyle w:val="ae"/>
        <w:spacing w:after="240" w:line="360" w:lineRule="auto"/>
        <w:ind w:left="1275" w:right="709"/>
        <w:jc w:val="both"/>
        <w:rPr>
          <w:rtl/>
        </w:rPr>
      </w:pPr>
      <w:r>
        <w:rPr>
          <w:rtl/>
        </w:rPr>
        <w:t>"לאור חובה זו לכבד את בית-המשפט הזר ואת הכרעותיו אין לפסול את האפשרות של קיום הליכים בבית-משפט זר רק משום שבארץ מתקיים הליך מקביל. את ההחלטה בשאלה אם הדיון שמתנהל בבית-המשפט הזר הופך למיותר, לא יעיל או מסורבל משום שבארץ מתקיים דיון מקביל, יש להותיר לבית-המשפט הזר עצמו. בית-משפט זה יכול להחליט להימנע מלדון בתובענה שהוגשה לו מכוח דוקטרינת "הליך תלוי ועומד" או דוקטרינת "פורום בלתי נאות". אל לבית-המשפט הישראלי להחליף, בהיעדר נסיבות מיוחדות, את שיקול-דעתו שלו בשיקול-דעתו של בית-המשפט הזר בשאלות אלה, ואל לו להניח כי שיקול-דעתו שלו עדיף, לפיכך עצם העובדה שבארץ כבר מתקיים הליך, אין די בה כדי להצדיק מתן צו חוסם".</w:t>
      </w: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מכאן שגם כאשר מתקיים הליך מקביל בישראל ובפורום זר בין אותם צדדים, ההליך בישראל עשוי להיות מעוכב עד לסיום הבירור של ההליך בפורום הזר. קל וחומר בענייננו, שעה שהוגש הליך בפורום הזר בין ההורים ו</w:t>
      </w:r>
      <w:r w:rsidRPr="00FC7CF7">
        <w:rPr>
          <w:rFonts w:ascii="David" w:hAnsi="David" w:cs="David"/>
          <w:b/>
          <w:bCs/>
          <w:sz w:val="24"/>
          <w:szCs w:val="24"/>
          <w:rtl/>
        </w:rPr>
        <w:t>כבר ניתן פסק חוץ, שעליו תלוי ועומד ערעור</w:t>
      </w:r>
      <w:r>
        <w:rPr>
          <w:rFonts w:ascii="David" w:hAnsi="David" w:cs="David"/>
          <w:sz w:val="24"/>
          <w:szCs w:val="24"/>
          <w:rtl/>
        </w:rPr>
        <w:t>, ושעה שמלכתחילה, לא הוגש הליך מקביל בישראל בין ההורים, וההליך דנן אינו מתנהל בין ההורים, אלא בין אחות הקטינות להורים.</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סיכומו של דבר, דין הבקשות להידחות.</w:t>
      </w:r>
    </w:p>
    <w:p w:rsidR="007221B9" w:rsidRDefault="007221B9" w:rsidP="007221B9">
      <w:pPr>
        <w:pStyle w:val="af"/>
        <w:rPr>
          <w:rFonts w:ascii="David" w:hAnsi="David" w:cs="David"/>
          <w:sz w:val="24"/>
          <w:szCs w:val="24"/>
        </w:rPr>
      </w:pPr>
    </w:p>
    <w:p w:rsidR="007221B9" w:rsidRDefault="007221B9" w:rsidP="007221B9">
      <w:pPr>
        <w:numPr>
          <w:ilvl w:val="0"/>
          <w:numId w:val="1"/>
        </w:numPr>
        <w:spacing w:line="360" w:lineRule="auto"/>
        <w:contextualSpacing/>
        <w:jc w:val="both"/>
        <w:rPr>
          <w:rFonts w:ascii="David" w:hAnsi="David"/>
          <w:rtl/>
        </w:rPr>
      </w:pPr>
      <w:r>
        <w:rPr>
          <w:rFonts w:ascii="David" w:hAnsi="David"/>
          <w:rtl/>
        </w:rPr>
        <w:t xml:space="preserve">אוסיף כי העקרונות הכלליים שבפרק א' לתקנות סדר הדין האזרחי, תשע"ט – 2018, (להלן: </w:t>
      </w:r>
      <w:r>
        <w:rPr>
          <w:rFonts w:ascii="David" w:hAnsi="David"/>
          <w:b/>
          <w:bCs/>
          <w:rtl/>
        </w:rPr>
        <w:t>תקנות סד"א</w:t>
      </w:r>
      <w:r>
        <w:rPr>
          <w:rFonts w:ascii="David" w:hAnsi="David"/>
          <w:rtl/>
        </w:rPr>
        <w:t xml:space="preserve">), שנועדו לאזן בין הרצון של צד להליך למצות את זכויותיו עד תום לבין הפגיעה בצד שכנגד ובאינטרס הציבורי, תומכים אף הם בדחיית הבקשות. הוראות חלק א' לתקנות חלות על ההליכים שבפני בית המשפט לענייני משפחה, בהתאם לתקנה 180(ג)(1) לתקנות סד"א. לפי חלק א' לתקנות, מטרות התקנות "לקבוע סדר דין לניהול ההליכים... ליצור ודאות דיונית, למנוע שרירותיות ולהגשים את העקרונות החוקתיים העומדים ביסודו של הליך שיפוטי ראוי והוגן, כדי להגיע לחקר האמת, ולהשיג תוצאה נכונה ופתרון צודק של הסכסוך" (תקנה 1). עוד נקבע שם כי על בית המשפט מוטלת חובה לניהול ההליך השיפוטי באופן שוויוני, מידתי ויעיל (תקנות 2 ו-3 לתקנות). זאת, תוך מניעת שימוש לרעה בהליכי משפט, "ובכלל זאת פעולה בהליך שמטרתה או תוצאתה לשבשו, להשהותו או להטריד בעל דין, לרבות פעולה בלתי מידתית לאופי הדיון, לעלותו או למורכבותו" (תקנה 4 לתקנות). </w:t>
      </w:r>
    </w:p>
    <w:p w:rsidR="007221B9" w:rsidRDefault="007221B9" w:rsidP="007221B9">
      <w:pPr>
        <w:pStyle w:val="af"/>
        <w:rPr>
          <w:rFonts w:ascii="David" w:hAnsi="David" w:cs="David"/>
          <w:color w:val="0000FF"/>
          <w:sz w:val="24"/>
          <w:szCs w:val="24"/>
        </w:rPr>
      </w:pPr>
    </w:p>
    <w:p w:rsidR="007221B9" w:rsidRDefault="00422A89" w:rsidP="007221B9">
      <w:pPr>
        <w:numPr>
          <w:ilvl w:val="0"/>
          <w:numId w:val="1"/>
        </w:numPr>
        <w:spacing w:line="360" w:lineRule="auto"/>
        <w:contextualSpacing/>
        <w:jc w:val="both"/>
        <w:rPr>
          <w:rFonts w:ascii="David" w:hAnsi="David"/>
        </w:rPr>
      </w:pPr>
      <w:hyperlink r:id="rId13" w:history="1">
        <w:r w:rsidR="007221B9" w:rsidRPr="00FC7CF7">
          <w:rPr>
            <w:rStyle w:val="Hyperlink"/>
            <w:rFonts w:ascii="David" w:hAnsi="David" w:hint="cs"/>
            <w:color w:val="000000" w:themeColor="text1"/>
            <w:u w:val="none"/>
            <w:rtl/>
          </w:rPr>
          <w:t>תקנה 5</w:t>
        </w:r>
      </w:hyperlink>
      <w:r w:rsidR="007221B9">
        <w:rPr>
          <w:rFonts w:ascii="David" w:hAnsi="David" w:hint="cs"/>
          <w:color w:val="000000" w:themeColor="text1"/>
          <w:rtl/>
        </w:rPr>
        <w:t xml:space="preserve"> לתקנות החדשות אף קובעת כי: "בית המשפט יאזן, לפי הצורך, בין האינטרס </w:t>
      </w:r>
      <w:r w:rsidR="007221B9">
        <w:rPr>
          <w:rFonts w:ascii="David" w:hAnsi="David" w:hint="cs"/>
          <w:rtl/>
        </w:rPr>
        <w:t>של בעלי הדין ובין האינטרס הציבורי; לעניין זה "אינטרס ציבורי" – נגישות הציבור למערכת בתי המשפט לרבות קיומו של דיון משפטי צודק, מהיר ויעיל, חיסכון במשאבי זמן ועלויות, מניעת הכרעות סותרות ומניעת שימוש לרעה בהליך". דברי ההסבר לתקנות מלמדים כי "עקרון זה נולד על רקע הנחת היסוד שלפיה, המשאב השיפוטי הינו משאב ציבורי יקר שיש לעשות בו שימוש מושכל. על כן על בית המשפט לאזן בין האינטרס של בעלי הדין, שהוא הקדשת מלוא משאביו וזמנו של בית המשפט לצורך בירור התובענה תוך למשל אי עמידה על הסדרים שנקבעו בתקנות, לבין האינטרס הציבורי שהוא, בין היתר, ניהול מיטבי של המשאב השיפו</w:t>
      </w:r>
      <w:r w:rsidR="007221B9" w:rsidRPr="00FC7CF7">
        <w:rPr>
          <w:rFonts w:ascii="David" w:hAnsi="David" w:hint="cs"/>
          <w:rtl/>
        </w:rPr>
        <w:t xml:space="preserve">טי המוגבל" (עמ' 6). דברי </w:t>
      </w:r>
      <w:r w:rsidR="007221B9" w:rsidRPr="00FC7CF7">
        <w:rPr>
          <w:rFonts w:ascii="David" w:hAnsi="David" w:hint="cs"/>
          <w:color w:val="000000" w:themeColor="text1"/>
          <w:rtl/>
        </w:rPr>
        <w:t>ההסבר מפנים בהקשר זה ל</w:t>
      </w:r>
      <w:hyperlink r:id="rId14" w:history="1">
        <w:r w:rsidR="007221B9" w:rsidRPr="00FC7CF7">
          <w:rPr>
            <w:rStyle w:val="Hyperlink"/>
            <w:rFonts w:ascii="David" w:hAnsi="David" w:hint="cs"/>
            <w:color w:val="000000" w:themeColor="text1"/>
            <w:u w:val="none"/>
            <w:rtl/>
          </w:rPr>
          <w:t>רע"א 10227/06</w:t>
        </w:r>
      </w:hyperlink>
      <w:r w:rsidR="007221B9" w:rsidRPr="00FC7CF7">
        <w:rPr>
          <w:rFonts w:ascii="David" w:hAnsi="David"/>
          <w:color w:val="000000" w:themeColor="text1"/>
          <w:rtl/>
        </w:rPr>
        <w:t xml:space="preserve"> </w:t>
      </w:r>
      <w:r w:rsidR="007221B9" w:rsidRPr="00FC7CF7">
        <w:rPr>
          <w:rFonts w:ascii="David" w:hAnsi="David" w:hint="cs"/>
          <w:b/>
          <w:bCs/>
          <w:color w:val="000000" w:themeColor="text1"/>
          <w:rtl/>
        </w:rPr>
        <w:t xml:space="preserve">בובליל נ' אינדיג </w:t>
      </w:r>
      <w:r w:rsidR="007221B9" w:rsidRPr="00FC7CF7">
        <w:rPr>
          <w:rFonts w:ascii="David" w:hAnsi="David" w:hint="cs"/>
          <w:color w:val="000000" w:themeColor="text1"/>
          <w:rtl/>
        </w:rPr>
        <w:t>[פורס</w:t>
      </w:r>
      <w:r w:rsidR="007221B9">
        <w:rPr>
          <w:rFonts w:ascii="David" w:hAnsi="David" w:hint="cs"/>
          <w:color w:val="000000" w:themeColor="text1"/>
          <w:rtl/>
        </w:rPr>
        <w:t xml:space="preserve">ם בנבו] (5.2.2007) </w:t>
      </w:r>
      <w:r w:rsidR="007221B9">
        <w:rPr>
          <w:rFonts w:ascii="David" w:hAnsi="David" w:hint="cs"/>
          <w:rtl/>
        </w:rPr>
        <w:t>שם נאמר כי "בית המשפט אחראי לכלל המתדיינים ולא רק לאלה העומדים לפניו בתיק מסוים".</w:t>
      </w:r>
    </w:p>
    <w:p w:rsidR="007221B9" w:rsidRDefault="007221B9" w:rsidP="007221B9">
      <w:pPr>
        <w:pStyle w:val="af"/>
        <w:rPr>
          <w:rFonts w:ascii="David" w:hAnsi="David" w:cs="David"/>
          <w:sz w:val="24"/>
          <w:szCs w:val="24"/>
        </w:rPr>
      </w:pPr>
    </w:p>
    <w:p w:rsidR="007221B9" w:rsidRDefault="007221B9" w:rsidP="00FC7CF7">
      <w:pPr>
        <w:pStyle w:val="af"/>
        <w:numPr>
          <w:ilvl w:val="0"/>
          <w:numId w:val="1"/>
        </w:numPr>
        <w:spacing w:line="360" w:lineRule="auto"/>
        <w:jc w:val="both"/>
        <w:rPr>
          <w:rFonts w:ascii="David" w:hAnsi="David" w:cs="David"/>
          <w:sz w:val="24"/>
          <w:szCs w:val="24"/>
          <w:rtl/>
        </w:rPr>
      </w:pPr>
      <w:r>
        <w:rPr>
          <w:rFonts w:ascii="David" w:hAnsi="David" w:cs="David"/>
          <w:sz w:val="24"/>
          <w:szCs w:val="24"/>
          <w:rtl/>
        </w:rPr>
        <w:t>במ</w:t>
      </w:r>
      <w:r w:rsidR="003D0D4E">
        <w:rPr>
          <w:rFonts w:ascii="David" w:hAnsi="David" w:cs="David"/>
          <w:sz w:val="24"/>
          <w:szCs w:val="24"/>
          <w:rtl/>
        </w:rPr>
        <w:t>קרה דנן, עסקינן בבקשות שהוגשו ע</w:t>
      </w:r>
      <w:r w:rsidR="003D0D4E">
        <w:rPr>
          <w:rFonts w:ascii="David" w:hAnsi="David" w:cs="David" w:hint="cs"/>
          <w:sz w:val="24"/>
          <w:szCs w:val="24"/>
          <w:rtl/>
        </w:rPr>
        <w:t>ר</w:t>
      </w:r>
      <w:r>
        <w:rPr>
          <w:rFonts w:ascii="David" w:hAnsi="David" w:cs="David"/>
          <w:sz w:val="24"/>
          <w:szCs w:val="24"/>
          <w:rtl/>
        </w:rPr>
        <w:t>ב מועד ביצוע פסק החוץ, ו</w:t>
      </w:r>
      <w:r w:rsidR="00FC7CF7">
        <w:rPr>
          <w:rFonts w:ascii="David" w:hAnsi="David" w:cs="David" w:hint="cs"/>
          <w:sz w:val="24"/>
          <w:szCs w:val="24"/>
          <w:rtl/>
        </w:rPr>
        <w:t xml:space="preserve">די בעיתוי הגשת הבקשות כדי להסיק כי מדובר בהתנהלות </w:t>
      </w:r>
      <w:r w:rsidR="00FC7CF7">
        <w:rPr>
          <w:rFonts w:ascii="David" w:hAnsi="David" w:cs="David"/>
          <w:sz w:val="24"/>
          <w:szCs w:val="24"/>
          <w:rtl/>
        </w:rPr>
        <w:t>שאינ</w:t>
      </w:r>
      <w:r w:rsidR="00FC7CF7">
        <w:rPr>
          <w:rFonts w:ascii="David" w:hAnsi="David" w:cs="David" w:hint="cs"/>
          <w:sz w:val="24"/>
          <w:szCs w:val="24"/>
          <w:rtl/>
        </w:rPr>
        <w:t>ה</w:t>
      </w:r>
      <w:r>
        <w:rPr>
          <w:rFonts w:ascii="David" w:hAnsi="David" w:cs="David"/>
          <w:sz w:val="24"/>
          <w:szCs w:val="24"/>
          <w:rtl/>
        </w:rPr>
        <w:t xml:space="preserve"> מתיישב</w:t>
      </w:r>
      <w:r w:rsidR="00857322">
        <w:rPr>
          <w:rFonts w:ascii="David" w:hAnsi="David" w:cs="David" w:hint="cs"/>
          <w:sz w:val="24"/>
          <w:szCs w:val="24"/>
          <w:rtl/>
        </w:rPr>
        <w:t>ת</w:t>
      </w:r>
      <w:r>
        <w:rPr>
          <w:rFonts w:ascii="David" w:hAnsi="David" w:cs="David"/>
          <w:sz w:val="24"/>
          <w:szCs w:val="24"/>
          <w:rtl/>
        </w:rPr>
        <w:t xml:space="preserve"> עם תום הלב הדיוני הנדרש מבעל דין, גם כשהוא מבקש לייצג </w:t>
      </w:r>
      <w:r w:rsidR="00857322">
        <w:rPr>
          <w:rFonts w:ascii="David" w:hAnsi="David" w:cs="David" w:hint="cs"/>
          <w:sz w:val="24"/>
          <w:szCs w:val="24"/>
          <w:rtl/>
        </w:rPr>
        <w:t xml:space="preserve">את </w:t>
      </w:r>
      <w:r>
        <w:rPr>
          <w:rFonts w:ascii="David" w:hAnsi="David" w:cs="David"/>
          <w:sz w:val="24"/>
          <w:szCs w:val="24"/>
          <w:rtl/>
        </w:rPr>
        <w:t>טובת קטינות לפי הבנתו, ו</w:t>
      </w:r>
      <w:r w:rsidR="00FC7CF7">
        <w:rPr>
          <w:rFonts w:ascii="David" w:hAnsi="David" w:cs="David" w:hint="cs"/>
          <w:sz w:val="24"/>
          <w:szCs w:val="24"/>
          <w:rtl/>
        </w:rPr>
        <w:t xml:space="preserve">כן </w:t>
      </w:r>
      <w:r>
        <w:rPr>
          <w:rFonts w:ascii="David" w:hAnsi="David" w:cs="David"/>
          <w:sz w:val="24"/>
          <w:szCs w:val="24"/>
          <w:rtl/>
        </w:rPr>
        <w:t>עם העקרון כי יש לנהל</w:t>
      </w:r>
      <w:r w:rsidR="009A559A">
        <w:rPr>
          <w:rFonts w:ascii="David" w:hAnsi="David" w:cs="David"/>
          <w:sz w:val="24"/>
          <w:szCs w:val="24"/>
          <w:rtl/>
        </w:rPr>
        <w:t xml:space="preserve"> הליך תחת ודאות דיונית וביעילות</w:t>
      </w:r>
      <w:r w:rsidR="009A559A">
        <w:rPr>
          <w:rFonts w:ascii="David" w:hAnsi="David" w:cs="David" w:hint="cs"/>
          <w:sz w:val="24"/>
          <w:szCs w:val="24"/>
          <w:rtl/>
        </w:rPr>
        <w:t>.</w:t>
      </w:r>
      <w:r w:rsidR="009A559A">
        <w:rPr>
          <w:rFonts w:ascii="David" w:hAnsi="David" w:cs="David"/>
          <w:sz w:val="24"/>
          <w:szCs w:val="24"/>
          <w:rtl/>
        </w:rPr>
        <w:t xml:space="preserve"> כן אי</w:t>
      </w:r>
      <w:r w:rsidR="009A559A">
        <w:rPr>
          <w:rFonts w:ascii="David" w:hAnsi="David" w:cs="David" w:hint="cs"/>
          <w:sz w:val="24"/>
          <w:szCs w:val="24"/>
          <w:rtl/>
        </w:rPr>
        <w:t>ן הבקשות</w:t>
      </w:r>
      <w:r>
        <w:rPr>
          <w:rFonts w:ascii="David" w:hAnsi="David" w:cs="David"/>
          <w:sz w:val="24"/>
          <w:szCs w:val="24"/>
          <w:rtl/>
        </w:rPr>
        <w:t xml:space="preserve"> מתיישבות עם האינטרס הציבורי לעשות שימוש מושכל במשאב השיפוטי לטובת ציבור כלל המתדיינים. </w:t>
      </w:r>
      <w:r w:rsidR="00FC7CF7">
        <w:rPr>
          <w:rFonts w:ascii="David" w:hAnsi="David" w:cs="David" w:hint="cs"/>
          <w:sz w:val="24"/>
          <w:szCs w:val="24"/>
          <w:rtl/>
        </w:rPr>
        <w:t>אכן, אין כל תוחלת בקיום ההליך למינוי אפוטרופוס לדין ובהעתרות לשתי הבקשות הנוספות, שכן גם אם תנוח דעתי כי המעבר לאב מנוגד לרצונן של הקטינות, ו</w:t>
      </w:r>
      <w:r w:rsidR="009A559A">
        <w:rPr>
          <w:rFonts w:ascii="David" w:hAnsi="David" w:cs="David" w:hint="cs"/>
          <w:sz w:val="24"/>
          <w:szCs w:val="24"/>
          <w:rtl/>
        </w:rPr>
        <w:t xml:space="preserve">כי </w:t>
      </w:r>
      <w:r w:rsidR="00FC7CF7">
        <w:rPr>
          <w:rFonts w:ascii="David" w:hAnsi="David" w:cs="David" w:hint="cs"/>
          <w:sz w:val="24"/>
          <w:szCs w:val="24"/>
          <w:rtl/>
        </w:rPr>
        <w:t>על פני הדברים, אינו מתיישב עם טובתן, לא יהיה בידי לתן הכרעה הסותרת את שנקבע בפסק החוץ ותוך סיכולו דה פאקטו.</w:t>
      </w:r>
      <w:r w:rsidR="009A559A">
        <w:rPr>
          <w:rFonts w:ascii="David" w:hAnsi="David" w:cs="David" w:hint="cs"/>
          <w:sz w:val="24"/>
          <w:szCs w:val="24"/>
          <w:rtl/>
        </w:rPr>
        <w:t xml:space="preserve"> </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spacing w:line="360" w:lineRule="auto"/>
        <w:jc w:val="both"/>
        <w:rPr>
          <w:rFonts w:ascii="David" w:hAnsi="David" w:cs="David"/>
          <w:b/>
          <w:bCs/>
          <w:sz w:val="28"/>
          <w:szCs w:val="28"/>
          <w:u w:val="single"/>
          <w:rtl/>
        </w:rPr>
      </w:pPr>
      <w:r>
        <w:rPr>
          <w:rFonts w:ascii="David" w:hAnsi="David" w:cs="David"/>
          <w:b/>
          <w:bCs/>
          <w:sz w:val="28"/>
          <w:szCs w:val="28"/>
          <w:u w:val="single"/>
          <w:rtl/>
        </w:rPr>
        <w:t>סיכום</w:t>
      </w: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סיכומו של דבר, דין שלוש הבקשות להידחות. </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למותר לציין כי תוצאה זו היתה מתחייבת גם לו האם היא זו שהיתה מגישה את ההליך.</w:t>
      </w:r>
    </w:p>
    <w:p w:rsidR="007221B9" w:rsidRDefault="007221B9" w:rsidP="007221B9">
      <w:pPr>
        <w:pStyle w:val="af"/>
        <w:spacing w:line="360" w:lineRule="auto"/>
        <w:jc w:val="both"/>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אציין כי המבקשת והאם טענו כי לא זו בלבד ששתי הקטינות הגדולות יותר מסרבות לנסוע לארה"ב לשם קיום פסק החוץ, הרי שהאב בעצמו הודיע כי אינו מעוניין שהן תעבורנה למשמורתו. האב עצמו לא התייחס לנושא זה בתגובתו. לעניין זה יאמר, כי שעה שקיים פסק חוץ המחייב את האם להשיב את כל ארבע הקטינות לארה"ב ולהעבירן למשמורת האם, הרי שיש לקיים את פסק הדין, והדרך היחידה לשנותו, לרבות צמצומו לשתי הקטינות הצעירות יותר בלבד, היא בבקשתה מתאימה לבית המשפט האמריקאי. </w:t>
      </w:r>
    </w:p>
    <w:p w:rsidR="009A559A" w:rsidRPr="009A559A" w:rsidRDefault="009A559A" w:rsidP="009A559A">
      <w:pPr>
        <w:pStyle w:val="af"/>
        <w:rPr>
          <w:rFonts w:ascii="David" w:hAnsi="David" w:cs="David"/>
          <w:sz w:val="24"/>
          <w:szCs w:val="24"/>
          <w:rtl/>
        </w:rPr>
      </w:pPr>
    </w:p>
    <w:p w:rsidR="009A559A" w:rsidRDefault="009A559A" w:rsidP="007221B9">
      <w:pPr>
        <w:pStyle w:val="af"/>
        <w:numPr>
          <w:ilvl w:val="0"/>
          <w:numId w:val="1"/>
        </w:numPr>
        <w:spacing w:line="360" w:lineRule="auto"/>
        <w:jc w:val="both"/>
        <w:rPr>
          <w:rFonts w:ascii="David" w:hAnsi="David" w:cs="David"/>
          <w:sz w:val="24"/>
          <w:szCs w:val="24"/>
        </w:rPr>
      </w:pPr>
      <w:r>
        <w:rPr>
          <w:rFonts w:ascii="David" w:hAnsi="David" w:cs="David" w:hint="cs"/>
          <w:sz w:val="24"/>
          <w:szCs w:val="24"/>
          <w:rtl/>
        </w:rPr>
        <w:t>מובהר כי אין בהחלטה דנן משום נקיטת עמדה כלשהי ביחס למחלוקות בין ההורים בינם לבין עצמם וביחס לפסק החוץ לגופו.</w:t>
      </w:r>
    </w:p>
    <w:p w:rsidR="007221B9" w:rsidRPr="009A559A" w:rsidRDefault="007221B9" w:rsidP="007221B9">
      <w:pPr>
        <w:pStyle w:val="af"/>
        <w:rPr>
          <w:rFonts w:ascii="David" w:hAnsi="David" w:cs="David"/>
          <w:sz w:val="24"/>
          <w:szCs w:val="24"/>
        </w:rPr>
      </w:pPr>
    </w:p>
    <w:p w:rsidR="007221B9" w:rsidRDefault="009A559A" w:rsidP="009A559A">
      <w:pPr>
        <w:pStyle w:val="af"/>
        <w:numPr>
          <w:ilvl w:val="0"/>
          <w:numId w:val="1"/>
        </w:numPr>
        <w:spacing w:line="360" w:lineRule="auto"/>
        <w:jc w:val="both"/>
        <w:rPr>
          <w:rFonts w:ascii="David" w:hAnsi="David" w:cs="David"/>
          <w:sz w:val="24"/>
          <w:szCs w:val="24"/>
          <w:rtl/>
        </w:rPr>
      </w:pPr>
      <w:r>
        <w:rPr>
          <w:rFonts w:ascii="David" w:hAnsi="David" w:cs="David" w:hint="cs"/>
          <w:sz w:val="24"/>
          <w:szCs w:val="24"/>
          <w:rtl/>
        </w:rPr>
        <w:t>לבסוף אציין</w:t>
      </w:r>
      <w:r w:rsidR="007221B9">
        <w:rPr>
          <w:rFonts w:ascii="David" w:hAnsi="David" w:cs="David"/>
          <w:sz w:val="24"/>
          <w:szCs w:val="24"/>
          <w:rtl/>
        </w:rPr>
        <w:t xml:space="preserve">, כי שקלתי אם לתן הנחיה לרשות הרווחה המקומית הנוגעת בדבר, לקיים פגישה עם הקטינות כדי להסביר להן את מצב הדברים באופן </w:t>
      </w:r>
      <w:r>
        <w:rPr>
          <w:rFonts w:ascii="David" w:hAnsi="David" w:cs="David"/>
          <w:sz w:val="24"/>
          <w:szCs w:val="24"/>
          <w:rtl/>
        </w:rPr>
        <w:t>מושכל ורגיש</w:t>
      </w:r>
      <w:r>
        <w:rPr>
          <w:rFonts w:ascii="David" w:hAnsi="David" w:cs="David" w:hint="cs"/>
          <w:sz w:val="24"/>
          <w:szCs w:val="24"/>
          <w:rtl/>
        </w:rPr>
        <w:t>.</w:t>
      </w:r>
      <w:r w:rsidR="007221B9">
        <w:rPr>
          <w:rFonts w:ascii="David" w:hAnsi="David" w:cs="David"/>
          <w:sz w:val="24"/>
          <w:szCs w:val="24"/>
          <w:rtl/>
        </w:rPr>
        <w:t xml:space="preserve"> ואולם, בשים לב לכך שהבקשות הוגשו ערב המועד שנקבע להשבת הקטינות לארה"ב והעובדה כי ככל הנראה הנסיעה תתקיים עוד היום, נראה כי אין טעם בכך. ככל ואני טועה, וניתן עדיין לעשות כן, יואיל ב"כ המבקשת להגיש עדכון מייידי לתיק, תוך ציון מקום מגורי האם היום, ותנתן הנחיה מתאימה.</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Pr>
      </w:pPr>
      <w:r>
        <w:rPr>
          <w:rFonts w:ascii="David" w:hAnsi="David" w:cs="David"/>
          <w:sz w:val="24"/>
          <w:szCs w:val="24"/>
          <w:rtl/>
        </w:rPr>
        <w:t>לפנים משורת הדין, אין צו להוצאות.</w:t>
      </w:r>
    </w:p>
    <w:p w:rsidR="007221B9" w:rsidRPr="007221B9" w:rsidRDefault="007221B9" w:rsidP="007221B9">
      <w:pPr>
        <w:pStyle w:val="af"/>
        <w:rPr>
          <w:rFonts w:ascii="David" w:hAnsi="David" w:cs="David"/>
          <w:sz w:val="24"/>
          <w:szCs w:val="24"/>
          <w:rtl/>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hint="cs"/>
          <w:sz w:val="24"/>
          <w:szCs w:val="24"/>
          <w:rtl/>
        </w:rPr>
        <w:t>פסק הדין יפורסם, בכפוף להתממתו.</w:t>
      </w:r>
    </w:p>
    <w:p w:rsidR="007221B9" w:rsidRDefault="007221B9" w:rsidP="007221B9">
      <w:pPr>
        <w:pStyle w:val="af"/>
        <w:rPr>
          <w:rFonts w:ascii="David" w:hAnsi="David" w:cs="David"/>
          <w:sz w:val="24"/>
          <w:szCs w:val="24"/>
        </w:rPr>
      </w:pPr>
    </w:p>
    <w:p w:rsidR="007221B9" w:rsidRDefault="007221B9" w:rsidP="007221B9">
      <w:pPr>
        <w:pStyle w:val="af"/>
        <w:numPr>
          <w:ilvl w:val="0"/>
          <w:numId w:val="1"/>
        </w:numPr>
        <w:spacing w:line="360" w:lineRule="auto"/>
        <w:jc w:val="both"/>
        <w:rPr>
          <w:rFonts w:ascii="David" w:hAnsi="David" w:cs="David"/>
          <w:sz w:val="24"/>
          <w:szCs w:val="24"/>
          <w:rtl/>
        </w:rPr>
      </w:pPr>
      <w:r>
        <w:rPr>
          <w:rFonts w:ascii="David" w:hAnsi="David" w:cs="David"/>
          <w:sz w:val="24"/>
          <w:szCs w:val="24"/>
          <w:rtl/>
        </w:rPr>
        <w:t>התיק יסגר.</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21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51508273"/>
        </w:sdtPr>
        <w:sdtEndPr/>
        <w:sdtContent>
          <w:r w:rsidR="00402E4C">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6"/>
      <w:footerReference w:type="defaul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A89" w:rsidRDefault="00422A89">
      <w:r>
        <w:separator/>
      </w:r>
    </w:p>
  </w:endnote>
  <w:endnote w:type="continuationSeparator" w:id="0">
    <w:p w:rsidR="00422A89" w:rsidRDefault="0042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422A8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422A89">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A89" w:rsidRDefault="00422A89">
      <w:r>
        <w:separator/>
      </w:r>
    </w:p>
  </w:footnote>
  <w:footnote w:type="continuationSeparator" w:id="0">
    <w:p w:rsidR="00422A89" w:rsidRDefault="0042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21 נובמבר 2024</w:t>
              </w:r>
            </w:p>
          </w:tc>
        </w:sdtContent>
      </w:sdt>
    </w:tr>
    <w:tr w:rsidR="002914D6">
      <w:trPr>
        <w:trHeight w:val="337"/>
        <w:jc w:val="center"/>
      </w:trPr>
      <w:tc>
        <w:tcPr>
          <w:tcW w:w="8721" w:type="dxa"/>
          <w:gridSpan w:val="2"/>
        </w:tcPr>
        <w:p w:rsidR="002914D6" w:rsidRDefault="00422A89" w:rsidP="00857322">
          <w:pPr>
            <w:rPr>
              <w:b/>
              <w:bCs/>
              <w:noProof w:val="0"/>
              <w:sz w:val="26"/>
              <w:szCs w:val="26"/>
              <w:rtl/>
            </w:rPr>
          </w:pPr>
          <w:sdt>
            <w:sdtPr>
              <w:rPr>
                <w:rtl/>
              </w:rPr>
              <w:alias w:val="1170"/>
              <w:tag w:val="1170"/>
              <w:id w:val="632838173"/>
              <w:text w:multiLine="1"/>
            </w:sdtPr>
            <w:sdtEndPr/>
            <w:sdtContent>
              <w:r w:rsidR="00CC29C2">
                <w:rPr>
                  <w:b/>
                  <w:bCs/>
                  <w:noProof w:val="0"/>
                  <w:sz w:val="26"/>
                  <w:szCs w:val="26"/>
                  <w:rtl/>
                </w:rPr>
                <w:t>א"פ</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46287-11-24</w:t>
              </w:r>
            </w:sdtContent>
          </w:sdt>
          <w:r w:rsidR="00011212">
            <w:rPr>
              <w:b/>
              <w:bCs/>
              <w:noProof w:val="0"/>
              <w:sz w:val="26"/>
              <w:szCs w:val="26"/>
              <w:rtl/>
            </w:rPr>
            <w:t xml:space="preserve"> </w:t>
          </w:r>
          <w:sdt>
            <w:sdtPr>
              <w:rPr>
                <w:rtl/>
              </w:rPr>
              <w:alias w:val="1172"/>
              <w:tag w:val="1172"/>
              <w:id w:val="1484202908"/>
              <w:text w:multiLine="1"/>
            </w:sdtPr>
            <w:sdtEndPr/>
            <w:sdtContent>
              <w:r w:rsidR="00857322">
                <w:rPr>
                  <w:rFonts w:hint="cs"/>
                  <w:b/>
                  <w:bCs/>
                  <w:noProof w:val="0"/>
                  <w:sz w:val="26"/>
                  <w:szCs w:val="26"/>
                  <w:rtl/>
                </w:rPr>
                <w:t>פלונית</w:t>
              </w:r>
              <w:r w:rsidR="00CC29C2">
                <w:rPr>
                  <w:b/>
                  <w:bCs/>
                  <w:noProof w:val="0"/>
                  <w:sz w:val="26"/>
                  <w:szCs w:val="26"/>
                  <w:rtl/>
                </w:rPr>
                <w:t xml:space="preserve"> נ' האפוטרופוס הכללי במחוז ירושלים ואח'</w:t>
              </w:r>
            </w:sdtContent>
          </w:sdt>
        </w:p>
        <w:p w:rsidR="002914D6" w:rsidRDefault="002914D6">
          <w:pPr>
            <w:rPr>
              <w:rtl/>
            </w:rPr>
          </w:pPr>
        </w:p>
        <w:p w:rsidR="00311B3D" w:rsidRDefault="00311B3D">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A7C56"/>
    <w:multiLevelType w:val="hybridMultilevel"/>
    <w:tmpl w:val="0EC6FD42"/>
    <w:lvl w:ilvl="0" w:tplc="5AC80E8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E7373D0"/>
    <w:multiLevelType w:val="hybridMultilevel"/>
    <w:tmpl w:val="A5227714"/>
    <w:lvl w:ilvl="0" w:tplc="CFF6A66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13797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137970&amp;lt;/CaseID&amp;gt;_x000d__x000a_        &amp;lt;CaseMonth&amp;gt;11&amp;lt;/CaseMonth&amp;gt;_x000d__x000a_        &amp;lt;CaseYear&amp;gt;2024&amp;lt;/CaseYear&amp;gt;_x000d__x000a_        &amp;lt;CaseNumber&amp;gt;46287&amp;lt;/CaseNumber&amp;gt;_x000d__x000a_        &amp;lt;NumeratorGroupID&amp;gt;1&amp;lt;/NumeratorGroupID&amp;gt;_x000d__x000a_        &amp;lt;CaseName&amp;gt;גרין נ&amp;#39; האפוטרופוס הכללי במחוז ירושלים ואח&amp;#39;&amp;lt;/CaseName&amp;gt;_x000d__x000a_        &amp;lt;CourtID&amp;gt;30&amp;lt;/CourtID&amp;gt;_x000d__x000a_        &amp;lt;CaseTypeID&amp;gt;10045&amp;lt;/CaseTypeID&amp;gt;_x000d__x000a_        &amp;lt;CaseInterestID&amp;gt;10318&amp;lt;/CaseInterestID&amp;gt;_x000d__x000a_        &amp;lt;CaseJudgeName&amp;gt;מיכל ברדנשטיי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6287-11-24&amp;lt;/CaseDisplayIdentifier&amp;gt;_x000d__x000a_        &amp;lt;CaseTypeDesc&amp;gt;א&amp;quot;פ&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51&amp;lt;/CaseNextDeterminingTask&amp;gt;_x000d__x000a_        &amp;lt;TemporaryAidStatus&amp;gt;קיימות בקשות לסעדים זמניים בתיק&amp;lt;/TemporaryAidStatus&amp;gt;_x000d__x000a_        &amp;lt;CaseOpenDate&amp;gt;2024-11-19T10:15:00+02:00&amp;lt;/CaseOpenDate&amp;gt;_x000d__x000a_        &amp;lt;PleaTypeID&amp;gt;5&amp;lt;/PleaTypeID&amp;gt;_x000d__x000a_        &amp;lt;CourtLevelID&amp;gt;1&amp;lt;/CourtLevelID&amp;gt;_x000d__x000a_        &amp;lt;CourtLevelCaseTypeInterestID&amp;gt;1141&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137970&amp;lt;/CaseID&amp;gt;_x000d__x000a_        &amp;lt;CaseMonth&amp;gt;11&amp;lt;/CaseMonth&amp;gt;_x000d__x000a_        &amp;lt;CaseYear&amp;gt;2024&amp;lt;/CaseYear&amp;gt;_x000d__x000a_        &amp;lt;CaseNumber&amp;gt;46287&amp;lt;/CaseNumber&amp;gt;_x000d__x000a_        &amp;lt;NumeratorGroupID&amp;gt;1&amp;lt;/NumeratorGroupID&amp;gt;_x000d__x000a_        &amp;lt;CaseName&amp;gt;גרין נ&amp;#39; האפוטרופוס הכללי במחוז ירושלים ואח&amp;#39;&amp;lt;/CaseName&amp;gt;_x000d__x000a_        &amp;lt;CourtID&amp;gt;30&amp;lt;/CourtID&amp;gt;_x000d__x000a_        &amp;lt;CaseTypeID&amp;gt;10045&amp;lt;/CaseTypeID&amp;gt;_x000d__x000a_        &amp;lt;CaseInterestID&amp;gt;10318&amp;lt;/CaseInterestID&amp;gt;_x000d__x000a_        &amp;lt;CaseJudgeName&amp;gt;מיכל ברדנשטיי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6287-11-24&amp;lt;/CaseDisplayIdentifier&amp;gt;_x000d__x000a_        &amp;lt;CaseTypeDesc&amp;gt;א&amp;quot;פ&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4-11-19T10:15:00+02:00&amp;lt;/CaseOpenDate&amp;gt;_x000d__x000a_        &amp;lt;PleaTypeID&amp;gt;5&amp;lt;/PleaTypeID&amp;gt;_x000d__x000a_        &amp;lt;CourtLevelID&amp;gt;1&amp;lt;/CourtLevelID&amp;gt;_x000d__x000a_        &amp;lt;CourtLevelCaseTypeInterestID&amp;gt;1141&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21T13:27:00.5530763+02:00&amp;lt;/DecisionStatusChangeDate&amp;gt;_x000d__x000a_        &amp;lt;DecisionSignatureDate&amp;gt;2024-11-21T13:27:00.5530763+02:00&amp;lt;/DecisionSignatureDate&amp;gt;_x000d__x000a_        &amp;lt;DecisionSignatureUserID&amp;gt;058463142@GOV.IL&amp;lt;/DecisionSignatureUserID&amp;gt;_x000d__x000a_        &amp;lt;DecisionCreateDate&amp;gt;2024-11-21T13:27:00.5530763+02:00&amp;lt;/DecisionCreateDate&amp;gt;_x000d__x000a_        &amp;lt;DecisionChangeDate&amp;gt;2024-11-21T13:27:00.5530763+02:00&amp;lt;/DecisionChangeDate&amp;gt;_x000d__x000a_        &amp;lt;DecisionChangeUserID&amp;gt;058463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631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63142@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213797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318"/>
    <w:docVar w:name="NGCS.TemplateCaseTypeID" w:val="10045"/>
    <w:docVar w:name="NGCS.TemplateCategoryID" w:val="80"/>
    <w:docVar w:name="NGCS.TemplateCourtID" w:val="30"/>
    <w:docVar w:name="NGCS.TemplateProceedingID" w:val="3"/>
    <w:docVar w:name="SelectedDocumentID" w:val="461081135"/>
    <w:docVar w:name="WordClientAssemblyName" w:val="NGCS.Decision.ClientWordBL"/>
    <w:docVar w:name="WordClientClassName" w:val="NGCS.Decision.ClientWordBL.DecisionClient"/>
  </w:docVars>
  <w:rsids>
    <w:rsidRoot w:val="002914D6"/>
    <w:rsid w:val="00011212"/>
    <w:rsid w:val="000129E8"/>
    <w:rsid w:val="0004352A"/>
    <w:rsid w:val="0014058F"/>
    <w:rsid w:val="001534CA"/>
    <w:rsid w:val="0019474B"/>
    <w:rsid w:val="0026335F"/>
    <w:rsid w:val="00273D47"/>
    <w:rsid w:val="002856D3"/>
    <w:rsid w:val="002914D6"/>
    <w:rsid w:val="002F5307"/>
    <w:rsid w:val="003021E0"/>
    <w:rsid w:val="00311B3D"/>
    <w:rsid w:val="00357B41"/>
    <w:rsid w:val="003A0652"/>
    <w:rsid w:val="003D0D4E"/>
    <w:rsid w:val="00402E4C"/>
    <w:rsid w:val="00422A89"/>
    <w:rsid w:val="004F4787"/>
    <w:rsid w:val="00530E94"/>
    <w:rsid w:val="00575DCE"/>
    <w:rsid w:val="005E66BB"/>
    <w:rsid w:val="00703472"/>
    <w:rsid w:val="007221B9"/>
    <w:rsid w:val="00822AA5"/>
    <w:rsid w:val="00857322"/>
    <w:rsid w:val="00904FA7"/>
    <w:rsid w:val="00921E03"/>
    <w:rsid w:val="009A04C9"/>
    <w:rsid w:val="009A559A"/>
    <w:rsid w:val="009D1711"/>
    <w:rsid w:val="00A7114E"/>
    <w:rsid w:val="00A7661B"/>
    <w:rsid w:val="00B234CE"/>
    <w:rsid w:val="00B31305"/>
    <w:rsid w:val="00CC29C2"/>
    <w:rsid w:val="00CE7F78"/>
    <w:rsid w:val="00D041BF"/>
    <w:rsid w:val="00DA714E"/>
    <w:rsid w:val="00E72C9F"/>
    <w:rsid w:val="00EC118E"/>
    <w:rsid w:val="00F50E07"/>
    <w:rsid w:val="00F863E1"/>
    <w:rsid w:val="00FC7CF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semiHidden/>
    <w:unhideWhenUsed/>
    <w:rsid w:val="007221B9"/>
    <w:rPr>
      <w:color w:val="0000FF"/>
      <w:u w:val="single"/>
    </w:rPr>
  </w:style>
  <w:style w:type="paragraph" w:styleId="ae">
    <w:name w:val="No Spacing"/>
    <w:uiPriority w:val="1"/>
    <w:qFormat/>
    <w:rsid w:val="007221B9"/>
    <w:pPr>
      <w:bidi/>
    </w:pPr>
    <w:rPr>
      <w:rFonts w:cs="David"/>
      <w:noProof/>
      <w:sz w:val="24"/>
      <w:szCs w:val="24"/>
    </w:rPr>
  </w:style>
  <w:style w:type="paragraph" w:styleId="af">
    <w:name w:val="List Paragraph"/>
    <w:basedOn w:val="a"/>
    <w:uiPriority w:val="34"/>
    <w:qFormat/>
    <w:rsid w:val="007221B9"/>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95625763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157751/5"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nevo.co.il/case/5725013"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1479325" TargetMode="External"/><Relationship Id="rId5" Type="http://schemas.openxmlformats.org/officeDocument/2006/relationships/styles" Target="styles.xml"/><Relationship Id="rId15" Type="http://schemas.openxmlformats.org/officeDocument/2006/relationships/image" Target="media/image1.jpg"/><Relationship Id="rId10" Type="http://schemas.openxmlformats.org/officeDocument/2006/relationships/hyperlink" Target="http://www.nevo.co.il/case/17932407"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616693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דניאל כדורי</FullName>
        <FirstName>דניאל</FirstName>
        <LastName>כדורי</LastName>
        <PartyPropertyName/>
        <AuthenticationTypeAndNumber>מ.ר. 93125</AuthenticationTypeAndNumber>
        <RepresentatedOrRepresentativesNames>ריצ'רד גרין</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280282018</CasePartyID>
        <PartyTypeID>2</PartyTypeID>
        <ActivityStatusID>1</ActivityStatusID>
        <PartyAliasID>23</PartyAliasID>
        <PartyAliasName>בא כוח משיבים</PartyAliasName>
        <LegalEntityID>81105690</LegalEntityID>
        <CaseLegalEntityID>133150231</CaseLegalEntityID>
        <AuthenticationTypeID>4</AuthenticationTypeID>
        <AuthenticationTypeName>מ.ר.</AuthenticationTypeName>
        <LegalEntityNumber>93125</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ת.ד 48180 ירושלים הגן הטכנולוגי מלחה</FullAddress>
        <EmailAddress>jbgellman@frimerlaw.com</EmailAddress>
        <MotionID>0</MotionID>
        <CasePleaID>0</CasePleaID>
        <LinkedCaseID>0</LinkedCaseID>
        <PartyID>2</PartyID>
        <CasePartyCategoryID>2</CasePartyCategoryID>
        <LegalEntityAddressID>70277775</LegalEntityAddressID>
        <LegalEntityEmailAddressID>67829433</LegalEntityEmailAddressID>
        <PleaTypeID>5</PleaTypeID>
        <LawyerOfficeName>פרימר גלמן ושות'</LawyerOfficeName>
        <LawyerOfficeID>419421</LawyerOfficeID>
        <GroupPartyAlias/>
        <IsConverted>false</IsConverted>
        <LegalEntityNameID>94593477</LegalEntityNameID>
        <RepresentatedNamesOfAssistant/>
        <LegalEntityTypeID>4</LegalEntityTypeID>
        <IsVerdictExists>false</IsVerdictExists>
        <IsAsirAzir>false</IsAsirAzir>
        <MainAndSecSpec/>
        <IsPublicationProhibited>false</IsPublicationProhibited>
        <PublicationProhibitedFullName>דניאל כדורי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רבקה לאה גרין</FullName>
        <FirstName>רבקה לאה</FirstName>
        <LastName>גרין</LastName>
        <PartyPropertyName/>
        <AuthenticationTypeAndNumber>ת"ז 210017075</AuthenticationTypeAndNumber>
        <RepresentatedOrRepresentativesNames>אסף בנמלך</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280154910</CasePartyID>
        <PartyTypeID>1</PartyTypeID>
        <ActivityStatusID>1</ActivityStatusID>
        <PartyAliasID>3</PartyAliasID>
        <PartyAliasName>מבקש</PartyAliasName>
        <OrdinalNumber>1</OrdinalNumber>
        <LegalEntityID>83085268</LegalEntityID>
        <CaseLegalEntityID>133111675</CaseLegalEntityID>
        <AuthenticationTypeID>1</AuthenticationTypeID>
        <AuthenticationTypeName>ת"ז</AuthenticationTypeName>
        <LegalEntityNumber>210017075</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קרן היסוד 36 ירושלים </FullAddress>
        <MotionID>0</MotionID>
        <CasePleaID>0</CasePleaID>
        <FatherName>ריצ'ארד מתיו</FatherName>
        <LinkedCaseID>0</LinkedCaseID>
        <PartyID>1</PartyID>
        <CasePartyCategoryID>2</CasePartyCategoryID>
        <LegalEntityAddressID>91202175</LegalEntityAddressID>
        <PleaTypeID>5</PleaTypeID>
        <GroupPartyAlias>מבקשים</GroupPartyAlias>
        <IsConverted>false</IsConverted>
        <LegalEntityRegisteredNameID>10965039</LegalEntityRegisteredNameID>
        <LegalEntityNameID>98520339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לאה גרין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אסף בנמלך</FullName>
        <FirstName>אסף</FirstName>
        <LastName>בנמלך</LastName>
        <PartyPropertyName/>
        <AuthenticationTypeAndNumber>מ.ר. 35079</AuthenticationTypeAndNumber>
        <RepresentatedOrRepresentativesNames>רבקה לאה גרין</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280154911</CasePartyID>
        <PartyTypeID>2</PartyTypeID>
        <ActivityStatusID>1</ActivityStatusID>
        <PartyAliasID>22</PartyAliasID>
        <PartyAliasName>בא כוח מבקשים</PartyAliasName>
        <OrdinalNumber>1</OrdinalNumber>
        <LegalEntityID>410626</LegalEntityID>
        <CaseLegalEntityID>133111676</CaseLegalEntityID>
        <AuthenticationTypeID>4</AuthenticationTypeID>
        <AuthenticationTypeName>מ.ר.</AuthenticationTypeName>
        <LegalEntityNumber>35079</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קרן היסוד 36 ירושלים </FullAddress>
        <EmailAddress>office-jer@bzlaw.co.il</EmailAddress>
        <MotionID>0</MotionID>
        <CasePleaID>0</CasePleaID>
        <LinkedCaseID>0</LinkedCaseID>
        <PartyID>1</PartyID>
        <CasePartyCategoryID>2</CasePartyCategoryID>
        <LegalEntityAddressID>84913075</LegalEntityAddressID>
        <LegalEntityEmailAddressID>68109339</LegalEntityEmailAddressID>
        <PleaTypeID>5</PleaTypeID>
        <LawyerOfficeName>בן צור קורב ושות' ירושלים</LawyerOfficeName>
        <LawyerOfficeID>428916</LawyerOfficeID>
        <GroupPartyAlias/>
        <IsConverted>false</IsConverted>
        <LegalEntityNameID>31610</LegalEntityNameID>
        <RepresentatedNamesOfAssistant/>
        <LegalEntityTypeID>4</LegalEntityTypeID>
        <IsVerdictExists>false</IsVerdictExists>
        <IsAsirAzir>false</IsAsirAzir>
        <MainAndSecSpec/>
        <IsPublicationProhibited>false</IsPublicationProhibited>
        <PublicationProhibitedFullName>אסף בנמלך</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280154916</CasePartyID>
        <PartyTypeID>2</PartyTypeID>
        <ActivityStatusID>1</ActivityStatusID>
        <PartyAliasID>23</PartyAliasID>
        <PartyAliasName>בא כוח משיבים</PartyAliasName>
        <OrdinalNumber>1</OrdinalNumber>
        <LegalEntityID>15874814</LegalEntityID>
        <CaseLegalEntityID>133111681</CaseLegalEntityID>
        <AuthenticationTypeID>4</AuthenticationTypeID>
        <AuthenticationTypeName>מ.ר.</AuthenticationTypeName>
        <LegalEntityNumber>50225</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5</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MainAndSecSpec/>
        <IsPublicationProhibited>false</IsPublicationProhibited>
        <PublicationProhibitedFullName>עירית חנה גור גוטמן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280154912</CasePartyID>
        <PartyTypeID>1</PartyTypeID>
        <ActivityStatusID>1</ActivityStatusID>
        <PartyAliasID>4</PartyAliasID>
        <PartyAliasName>משיב</PartyAliasName>
        <OrdinalNumber>1</OrdinalNumber>
        <LegalEntityID>6760</LegalEntityID>
        <CaseLegalEntityID>133111677</CaseLegalEntityID>
        <AuthenticationTypeID>13</AuthenticationTypeID>
        <AuthenticationTypeName>משרדי ממשלה</AuthenticationTypeName>
        <LegalEntityNumber>999009</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כנפי נשרים 15 ירושלים בית התאומים קומה 3</FullAddress>
        <EmailAddress>AptFamilyCourt@justice.gov.il</EmailAddress>
        <MotionID>0</MotionID>
        <CasePleaID>0</CasePleaID>
        <FatherName xml:space="preserve">        </FatherName>
        <LinkedCaseID>0</LinkedCaseID>
        <PartyID>2</PartyID>
        <CasePartyCategoryID>2</CasePartyCategoryID>
        <LegalEntityAddressID>84620124</LegalEntityAddressID>
        <LegalEntityEmailAddressID>67850595</LegalEntityEmailAddressID>
        <PleaTypeID>5</PleaTypeID>
        <GroupPartyAlias>משיבים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280154913</CasePartyID>
        <PartyTypeID>1</PartyTypeID>
        <ActivityStatusID>1</ActivityStatusID>
        <PartyAliasID>4</PartyAliasID>
        <PartyAliasName>משיב</PartyAliasName>
        <OrdinalNumber>2</OrdinalNumber>
        <LegalEntityID>69991102</LegalEntityID>
        <CaseLegalEntityID>133111678</CaseLegalEntityID>
        <AuthenticationTypeID>13</AuthenticationTypeID>
        <AuthenticationTypeName>משרדי ממשלה</AuthenticationTypeName>
        <LegalEntityNumber>570001538</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קפלן 2 קריית הממשלה ירושלים </FullAddress>
        <EmailAddress>krmishpatitfax2mail@molsa.gov.il</EmailAddress>
        <MotionID>0</MotionID>
        <CasePleaID>0</CasePleaID>
        <LinkedCaseID>0</LinkedCaseID>
        <PartyID>2</PartyID>
        <CasePartyCategoryID>2</CasePartyCategoryID>
        <LegalEntityAddressID>70868872</LegalEntityAddressID>
        <LegalEntityEmailAddressID>68059337</LegalEntityEmailAddressID>
        <PleaTypeID>5</PleaTypeID>
        <GroupPartyAlias>משיבים</GroupPartyAlias>
        <IsConverted>false</IsConverted>
        <LegalEntityRegisteredNameID>2417185</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ירושלים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ריצ'רד גרין</FullName>
        <FirstName>ריצ'ארד מתיו</FirstName>
        <LastName>גרין</LastName>
        <PartyPropertyName/>
        <AuthenticationTypeAndNumber>ת"ז 328699558</AuthenticationTypeAndNumber>
        <RepresentatedOrRepresentativesNames>דניאל כדורי</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280154914</CasePartyID>
        <PartyTypeID>1</PartyTypeID>
        <ActivityStatusID>1</ActivityStatusID>
        <PartyAliasID>4</PartyAliasID>
        <PartyAliasName>משיב</PartyAliasName>
        <OrdinalNumber>3</OrdinalNumber>
        <LegalEntityID>83085269</LegalEntityID>
        <CaseLegalEntityID>133111679</CaseLegalEntityID>
        <AuthenticationTypeID>1</AuthenticationTypeID>
        <AuthenticationTypeName>ת"ז</AuthenticationTypeName>
        <LegalEntityNumber>328699558</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
        <MotionID>0</MotionID>
        <CasePleaID>0</CasePleaID>
        <FatherName>סטיב</FatherName>
        <LinkedCaseID>0</LinkedCaseID>
        <PartyID>2</PartyID>
        <CasePartyCategoryID>2</CasePartyCategoryID>
        <PleaTypeID>5</PleaTypeID>
        <GroupPartyAlias>משיבים</GroupPartyAlias>
        <IsConverted>false</IsConverted>
        <LegalEntityRegisteredNameID>10965040</LegalEntityRegisteredNameID>
        <LegalEntityNameID>98520340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ריצ'רד גרין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ליאורה דבורה גרין</FullName>
        <FirstName>ליאורה</FirstName>
        <LastName>גרין</LastName>
        <PartyPropertyName/>
        <AuthenticationTypeAndNumber>ת"ז 011713153</AuthenticationTypeAndNumber>
        <RepresentatedOrRepresentativesNames/>
        <RepresentatedOrRepresentativesCount>0</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280154915</CasePartyID>
        <PartyTypeID>1</PartyTypeID>
        <ActivityStatusID>1</ActivityStatusID>
        <PartyAliasID>4</PartyAliasID>
        <PartyAliasName>משיב</PartyAliasName>
        <OrdinalNumber>4</OrdinalNumber>
        <LegalEntityID>71081320</LegalEntityID>
        <CaseLegalEntityID>133111680</CaseLegalEntityID>
        <AuthenticationTypeID>1</AuthenticationTypeID>
        <AuthenticationTypeName>ת"ז</AuthenticationTypeName>
        <LegalEntityNumber>011713153</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זויתן 2 בית שמש </FullAddress>
        <MotionID>0</MotionID>
        <CasePleaID>0</CasePleaID>
        <FatherName>רוברט</FatherName>
        <LinkedCaseID>0</LinkedCaseID>
        <PartyID>2</PartyID>
        <CasePartyCategoryID>2</CasePartyCategoryID>
        <LegalEntityAddressID>91202176</LegalEntityAddressID>
        <PleaTypeID>5</PleaTypeID>
        <GroupPartyAlias>משיבים</GroupPartyAlias>
        <IsConverted>false</IsConverted>
        <LegalEntityRegisteredNameID>10499760</LegalEntityRegisteredNameID>
        <LegalEntityNameID>98520341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ליאורה דבורה גרין</PublicationProhibitedFullName>
      </CaseParties>
    </CasePartiesSelectionDS>
    <DecisionName>החלטה  שניתנה ע"י  מיכל ברדנשטיין</DecisionName>
    <CourtDisplayName>בית משפט לענייני משפחה בירושלים</CourtDisplayName>
    <IsCaseJudgePanel>false</IsCaseJudgePanel>
    <DecisionSignatureDate>2024-11-21T13:27:00.5530763+02:00</DecisionSignatureDate>
    <OpenCaseDate>2024-11-19T10:15:00+02:00</OpenCaseDate>
    <CaseFeeSum>0.000</CaseFeeSum>
    <DecisionTypeID>1</DecisionTypeID>
    <DecisionSignatureUserName>מיכל ברדנשטיין</DecisionSignatureUserName>
    <DecisionSignatureDateHebrew>2024-11-21T13:27:00.5530763+02:00</DecisionSignatureDateHebrew>
    <DecisionWriterID>058463142@GOV.IL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גרין נ' האפוטרופוס הכללי במחוז ירושלים ואח'</CaseName>
    <DecisionNumberInCase>10</DecisionNumberInCase>
  </dt_Decision>
  <dt_DecisionCase>
    <DecisionID>0</DecisionID>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דניאל כדורי</FullName>
        <FirstName>דניאל</FirstName>
        <LastName>כדורי</LastName>
        <PartyPropertyName/>
        <AuthenticationTypeAndNumber>מ.ר. 93125</AuthenticationTypeAndNumber>
        <RepresentatedOrRepresentativesNames>ריצ'רד גרין</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280282018</CasePartyID>
        <PartyTypeID>2</PartyTypeID>
        <ActivityStatusID>1</ActivityStatusID>
        <PartyAliasID>23</PartyAliasID>
        <PartyAliasName>בא כוח משיבים</PartyAliasName>
        <LegalEntityID>81105690</LegalEntityID>
        <CaseLegalEntityID>133150231</CaseLegalEntityID>
        <AuthenticationTypeID>4</AuthenticationTypeID>
        <AuthenticationTypeName>מ.ר.</AuthenticationTypeName>
        <LegalEntityNumber>93125</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ת.ד 48180 ירושלים הגן הטכנולוגי מלחה</FullAddress>
        <EmailAddress>jbgellman@frimerlaw.com</EmailAddress>
        <MotionID>0</MotionID>
        <CasePleaID>0</CasePleaID>
        <LinkedCaseID>0</LinkedCaseID>
        <PartyID>2</PartyID>
        <CasePartyCategoryID>2</CasePartyCategoryID>
        <LegalEntityAddressID>70277775</LegalEntityAddressID>
        <LegalEntityEmailAddressID>67829433</LegalEntityEmailAddressID>
        <PleaTypeID>5</PleaTypeID>
        <LawyerOfficeName>פרימר גלמן ושות'</LawyerOfficeName>
        <LawyerOfficeID>419421</LawyerOfficeID>
        <GroupPartyAlias/>
        <IsConverted>false</IsConverted>
        <LegalEntityNameID>94593477</LegalEntityNameID>
        <RepresentatedNamesOfAssistant/>
        <LegalEntityTypeID>4</LegalEntityTypeID>
        <IsVerdictExists>false</IsVerdictExists>
        <IsAsirAzir>false</IsAsirAzir>
        <MainAndSecSpec/>
        <IsPublicationProhibited>false</IsPublicationProhibited>
        <PublicationProhibitedFullName>דניאל כדורי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רבקה לאה גרין</FullName>
        <FirstName>רבקה לאה</FirstName>
        <LastName>גרין</LastName>
        <PartyPropertyName/>
        <AuthenticationTypeAndNumber>ת"ז 210017075</AuthenticationTypeAndNumber>
        <RepresentatedOrRepresentativesNames>אסף בנמלך</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280154910</CasePartyID>
        <PartyTypeID>1</PartyTypeID>
        <ActivityStatusID>1</ActivityStatusID>
        <PartyAliasID>3</PartyAliasID>
        <PartyAliasName>מבקש</PartyAliasName>
        <OrdinalNumber>1</OrdinalNumber>
        <LegalEntityID>83085268</LegalEntityID>
        <CaseLegalEntityID>133111675</CaseLegalEntityID>
        <AuthenticationTypeID>1</AuthenticationTypeID>
        <AuthenticationTypeName>ת"ז</AuthenticationTypeName>
        <LegalEntityNumber>210017075</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קרן היסוד 36 ירושלים </FullAddress>
        <MotionID>0</MotionID>
        <CasePleaID>0</CasePleaID>
        <FatherName>ריצ'ארד מתיו</FatherName>
        <LinkedCaseID>0</LinkedCaseID>
        <PartyID>1</PartyID>
        <CasePartyCategoryID>2</CasePartyCategoryID>
        <LegalEntityAddressID>91202175</LegalEntityAddressID>
        <PleaTypeID>5</PleaTypeID>
        <GroupPartyAlias>מבקשים</GroupPartyAlias>
        <IsConverted>false</IsConverted>
        <LegalEntityRegisteredNameID>10965039</LegalEntityRegisteredNameID>
        <LegalEntityNameID>98520339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לאה גרין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אסף בנמלך</FullName>
        <FirstName>אסף</FirstName>
        <LastName>בנמלך</LastName>
        <PartyPropertyName/>
        <AuthenticationTypeAndNumber>מ.ר. 35079</AuthenticationTypeAndNumber>
        <RepresentatedOrRepresentativesNames>רבקה לאה גרין</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280154911</CasePartyID>
        <PartyTypeID>2</PartyTypeID>
        <ActivityStatusID>1</ActivityStatusID>
        <PartyAliasID>22</PartyAliasID>
        <PartyAliasName>בא כוח מבקשים</PartyAliasName>
        <OrdinalNumber>1</OrdinalNumber>
        <LegalEntityID>410626</LegalEntityID>
        <CaseLegalEntityID>133111676</CaseLegalEntityID>
        <AuthenticationTypeID>4</AuthenticationTypeID>
        <AuthenticationTypeName>מ.ר.</AuthenticationTypeName>
        <LegalEntityNumber>35079</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קרן היסוד 36 ירושלים </FullAddress>
        <EmailAddress>office-jer@bzlaw.co.il</EmailAddress>
        <MotionID>0</MotionID>
        <CasePleaID>0</CasePleaID>
        <LinkedCaseID>0</LinkedCaseID>
        <PartyID>1</PartyID>
        <CasePartyCategoryID>2</CasePartyCategoryID>
        <LegalEntityAddressID>84913075</LegalEntityAddressID>
        <LegalEntityEmailAddressID>68109339</LegalEntityEmailAddressID>
        <PleaTypeID>5</PleaTypeID>
        <LawyerOfficeName>בן צור קורב ושות' ירושלים</LawyerOfficeName>
        <LawyerOfficeID>428916</LawyerOfficeID>
        <GroupPartyAlias/>
        <IsConverted>false</IsConverted>
        <LegalEntityNameID>31610</LegalEntityNameID>
        <RepresentatedNamesOfAssistant/>
        <LegalEntityTypeID>4</LegalEntityTypeID>
        <IsVerdictExists>false</IsVerdictExists>
        <IsAsirAzir>false</IsAsirAzir>
        <MainAndSecSpec/>
        <IsPublicationProhibited>false</IsPublicationProhibited>
        <PublicationProhibitedFullName>אסף בנמלך</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280154916</CasePartyID>
        <PartyTypeID>2</PartyTypeID>
        <ActivityStatusID>1</ActivityStatusID>
        <PartyAliasID>23</PartyAliasID>
        <PartyAliasName>בא כוח משיבים</PartyAliasName>
        <OrdinalNumber>1</OrdinalNumber>
        <LegalEntityID>15874814</LegalEntityID>
        <CaseLegalEntityID>133111681</CaseLegalEntityID>
        <AuthenticationTypeID>4</AuthenticationTypeID>
        <AuthenticationTypeName>מ.ר.</AuthenticationTypeName>
        <LegalEntityNumber>50225</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5</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MainAndSecSpec/>
        <IsPublicationProhibited>false</IsPublicationProhibited>
        <PublicationProhibitedFullName>עירית חנה גור גוטמן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280154912</CasePartyID>
        <PartyTypeID>1</PartyTypeID>
        <ActivityStatusID>1</ActivityStatusID>
        <PartyAliasID>4</PartyAliasID>
        <PartyAliasName>משיב</PartyAliasName>
        <OrdinalNumber>1</OrdinalNumber>
        <LegalEntityID>6760</LegalEntityID>
        <CaseLegalEntityID>133111677</CaseLegalEntityID>
        <AuthenticationTypeID>13</AuthenticationTypeID>
        <AuthenticationTypeName>משרדי ממשלה</AuthenticationTypeName>
        <LegalEntityNumber>999009</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כנפי נשרים 15 ירושלים בית התאומים קומה 3</FullAddress>
        <EmailAddress>AptFamilyCourt@justice.gov.il</EmailAddress>
        <MotionID>0</MotionID>
        <CasePleaID>0</CasePleaID>
        <FatherName xml:space="preserve">        </FatherName>
        <LinkedCaseID>0</LinkedCaseID>
        <PartyID>2</PartyID>
        <CasePartyCategoryID>2</CasePartyCategoryID>
        <LegalEntityAddressID>84620124</LegalEntityAddressID>
        <LegalEntityEmailAddressID>67850595</LegalEntityEmailAddressID>
        <PleaTypeID>5</PleaTypeID>
        <GroupPartyAlias>משיבים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280154913</CasePartyID>
        <PartyTypeID>1</PartyTypeID>
        <ActivityStatusID>1</ActivityStatusID>
        <PartyAliasID>4</PartyAliasID>
        <PartyAliasName>משיב</PartyAliasName>
        <OrdinalNumber>2</OrdinalNumber>
        <LegalEntityID>69991102</LegalEntityID>
        <CaseLegalEntityID>133111678</CaseLegalEntityID>
        <AuthenticationTypeID>13</AuthenticationTypeID>
        <AuthenticationTypeName>משרדי ממשלה</AuthenticationTypeName>
        <LegalEntityNumber>570001538</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קפלן 2 קריית הממשלה ירושלים </FullAddress>
        <EmailAddress>krmishpatitfax2mail@molsa.gov.il</EmailAddress>
        <MotionID>0</MotionID>
        <CasePleaID>0</CasePleaID>
        <LinkedCaseID>0</LinkedCaseID>
        <PartyID>2</PartyID>
        <CasePartyCategoryID>2</CasePartyCategoryID>
        <LegalEntityAddressID>70868872</LegalEntityAddressID>
        <LegalEntityEmailAddressID>68059337</LegalEntityEmailAddressID>
        <PleaTypeID>5</PleaTypeID>
        <GroupPartyAlias>משיבים</GroupPartyAlias>
        <IsConverted>false</IsConverted>
        <LegalEntityRegisteredNameID>2417185</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ירושלים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ריצ'רד גרין</FullName>
        <FirstName>ריצ'ארד מתיו</FirstName>
        <LastName>גרין</LastName>
        <PartyPropertyName/>
        <AuthenticationTypeAndNumber>ת"ז 328699558</AuthenticationTypeAndNumber>
        <RepresentatedOrRepresentativesNames>דניאל כדורי</RepresentatedOrRepresentativesNames>
        <RepresentatedOrRepresentativesCount>1</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280154914</CasePartyID>
        <PartyTypeID>1</PartyTypeID>
        <ActivityStatusID>1</ActivityStatusID>
        <PartyAliasID>4</PartyAliasID>
        <PartyAliasName>משיב</PartyAliasName>
        <OrdinalNumber>3</OrdinalNumber>
        <LegalEntityID>83085269</LegalEntityID>
        <CaseLegalEntityID>133111679</CaseLegalEntityID>
        <AuthenticationTypeID>1</AuthenticationTypeID>
        <AuthenticationTypeName>ת"ז</AuthenticationTypeName>
        <LegalEntityNumber>328699558</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
        <MotionID>0</MotionID>
        <CasePleaID>0</CasePleaID>
        <FatherName>סטיב</FatherName>
        <LinkedCaseID>0</LinkedCaseID>
        <PartyID>2</PartyID>
        <CasePartyCategoryID>2</CasePartyCategoryID>
        <PleaTypeID>5</PleaTypeID>
        <GroupPartyAlias>משיבים</GroupPartyAlias>
        <IsConverted>false</IsConverted>
        <LegalEntityRegisteredNameID>10965040</LegalEntityRegisteredNameID>
        <LegalEntityNameID>98520340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ריצ'רד גרין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ליאורה דבורה גרין</FullName>
        <FirstName>ליאורה</FirstName>
        <LastName>גרין</LastName>
        <PartyPropertyName/>
        <AuthenticationTypeAndNumber>ת"ז 011713153</AuthenticationTypeAndNumber>
        <RepresentatedOrRepresentativesNames/>
        <RepresentatedOrRepresentativesCount>0</RepresentatedOrRepresentativesCount>
        <InvitedBy/>
        <CaseID>82137970</CaseID>
        <CaseJudicialPersonPresentationDS>
          <CaseJudicalPersonActive>
            <CaseID>82137970</CaseID>
            <JudicialPersonID>058463142@GOV.IL</JudicialPersonID>
            <JudicialPersonTypeID>1</JudicialPersonTypeID>
            <JudicialTypeID>1</JudicialTypeID>
            <IsChairman>false</IsChairman>
            <TreatmentStartDate>2024-11-19T10:26:55.783+02:00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280154915</CasePartyID>
        <PartyTypeID>1</PartyTypeID>
        <ActivityStatusID>1</ActivityStatusID>
        <PartyAliasID>4</PartyAliasID>
        <PartyAliasName>משיב</PartyAliasName>
        <OrdinalNumber>4</OrdinalNumber>
        <LegalEntityID>71081320</LegalEntityID>
        <CaseLegalEntityID>133111680</CaseLegalEntityID>
        <AuthenticationTypeID>1</AuthenticationTypeID>
        <AuthenticationTypeName>ת"ז</AuthenticationTypeName>
        <LegalEntityNumber>011713153</LegalEntityNumber>
        <IsMainPartyType>true</IsMainPartyType>
        <CaseDisplayIdentifier>46287-11-24</CaseDisplayIdentifier>
        <CaseTypeID>10045</CaseTypeID>
        <CaseTypeName>אפוטרופסות (א"פ)</CaseTypeName>
        <CaseName>גרין נ' האפוטרופוס הכללי במחוז ירושלים ואח'</CaseName>
        <FullAddress>זויתן 2 בית שמש </FullAddress>
        <MotionID>0</MotionID>
        <CasePleaID>0</CasePleaID>
        <FatherName>רוברט</FatherName>
        <LinkedCaseID>0</LinkedCaseID>
        <PartyID>2</PartyID>
        <CasePartyCategoryID>2</CasePartyCategoryID>
        <LegalEntityAddressID>91202176</LegalEntityAddressID>
        <PleaTypeID>5</PleaTypeID>
        <GroupPartyAlias>משיבים</GroupPartyAlias>
        <IsConverted>false</IsConverted>
        <LegalEntityRegisteredNameID>10499760</LegalEntityRegisteredNameID>
        <LegalEntityNameID>98520341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ליאורה דבורה גרין</PublicationProhibitedFullName>
      </CaseParties>
    </CasePartiesSelectionDS>
    <CaseName>גרין נ' האפוטרופוס הכללי במחוז ירושלים ואח'</CaseName>
    <CaseDisplayIdentifier>46287-11-24</CaseDisplayIdentifier>
    <CaseInterestID>10318</CaseInterestID>
    <CaseTypeShortName>א"פ</CaseTypeShortName>
  </dt_DecisionCase>
  <dt_DecisionJudgePanel>
    <JudgeID>058463142@GOV.IL</JudgeID>
    <DisplayName>מיכל ברדנשטיין</DisplayName>
    <RoleName>שופט</RoleName>
    <UserTitleName>שופטת</UserTitleName>
  </dt_DecisionJudgePanel>
  <dt_LegalEntityDetails>
    <Fax>02-6799931</Fax>
    <AddressDesc>הגן הטכנולוגי מלחה</AddressDesc>
    <PartyID>2</PartyID>
    <PartyTypeID>2</PartyTypeID>
    <DecisionID>0</DecisionID>
    <StreetName>ת.ד 48180</StreetName>
    <ZipCode>91481</ZipCode>
    <CityName>ירושלים</CityName>
    <FullName>דניאל כדורי</FullName>
    <Email>jbgellman@frimerlaw.com</Email>
    <IsPublicationProhibited>false</IsPublicationProhibited>
  </dt_LegalEntityDetails>
  <dt_LegalEntityDetails>
    <PartyID>1</PartyID>
    <PartyTypeID>1</PartyTypeID>
    <DecisionID>0</DecisionID>
    <StreetName>קרן היסוד 36</StreetName>
    <ZipCode>2194914</ZipCode>
    <CityName>ירושלים</CityName>
    <FullName>רבקה לאה  גרין</FullName>
    <Email>office-jer@bzlaw.co.il</Email>
    <IsPublicationProhibited>false</IsPublicationProhibited>
  </dt_LegalEntityDetails>
  <dt_LegalEntityDetails>
    <Fax>073-7687780</Fax>
    <Phone>073-7686999</Phone>
    <PartyID>1</PartyID>
    <PartyTypeID>2</PartyTypeID>
    <DecisionID>0</DecisionID>
    <StreetName>קרן היסוד 36</StreetName>
    <ZipCode>92149</ZipCode>
    <CityName>ירושלים</CityName>
    <FullName>אסף בנמלך</FullName>
    <Email>office-jer@bzlaw.co.il</Email>
    <IsPublicationProhibited>false</IsPublicationProhibited>
  </dt_LegalEntityDetails>
  <dt_LegalEntityDetails>
    <Fax>02-6467570</Fax>
    <Phone>02-6215777</Phone>
    <AddressDesc>בית התאומים קומה 3</AddressDesc>
    <PartyID>2</PartyID>
    <PartyTypeID>1</PartyTypeID>
    <DecisionID>0</DecisionID>
    <StreetName>כנפי נשרים 15</StreetName>
    <ZipCode>95464</ZipCode>
    <CityName>ירושלים</CityName>
    <FullName> האפוטרופוס הכללי במחוז ירושלים</FullName>
    <Email>AptFamilyCourt@justice.gov.il</Email>
    <IsPublicationProhibited>false</IsPublicationProhibited>
  </dt_LegalEntityDetails>
  <dt_LegalEntityDetails>
    <Fax>02-5085580</Fax>
    <Phone>02-6752538</Phone>
    <AddressDesc>קריית הממשלה</AddressDesc>
    <PartyID>2</PartyID>
    <PartyTypeID>2</PartyTypeID>
    <DecisionID>0</DecisionID>
    <StreetName>קפלן 2</StreetName>
    <ZipCode>91008</ZipCode>
    <CityName>ירושלים</CityName>
    <FullName>עירית חנה גור גוטמן</FullName>
    <Email>krmishpatitfax2mail@molsa.gov.il</Email>
    <IsPublicationProhibited>false</IsPublicationProhibited>
  </dt_LegalEntityDetails>
  <dt_LegalEntityDetails>
    <Fax>02-6752363</Fax>
    <Phone>02-6752898</Phone>
    <PartyID>2</PartyID>
    <PartyTypeID>1</PartyTypeID>
    <DecisionID>0</DecisionID>
    <StreetName>קפלן 2 קריית הממשלה</StreetName>
    <ZipCode>91008</ZipCode>
    <CityName>ירושלים</CityName>
    <FullName> משרד הרווחה - לשכה משפטית ירושלים</FullName>
    <Email>krmishpatitfax2mail@molsa.gov.il</Email>
    <IsPublicationProhibited>false</IsPublicationProhibited>
  </dt_LegalEntityDetails>
  <dt_LegalEntityDetails>
    <PartyID>2</PartyID>
    <PartyTypeID>1</PartyTypeID>
    <DecisionID>0</DecisionID>
    <FullName>ריצ'רד  גרין</FullName>
    <IsPublicationProhibited>false</IsPublicationProhibited>
  </dt_LegalEntityDetails>
  <dt_LegalEntityDetails>
    <PartyID>2</PartyID>
    <PartyTypeID>1</PartyTypeID>
    <DecisionID>0</DecisionID>
    <StreetName>זויתן 2 </StreetName>
    <CityName>בית שמש</CityName>
    <FullName>ליאורה דבורה  גרין</FullName>
    <IsPublicationProhibited>false</IsPublicationProhibited>
  </dt_LegalEntityDetails>
  <dt_CaseJudicalPersonActive>
    <CaseJudicalPerson>שופטת מיכל ברדנשטיין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A98B8-0A54-4C05-AB54-74375BCDC399}">
  <ds:schemaRefs/>
</ds:datastoreItem>
</file>

<file path=customXml/itemProps2.xml><?xml version="1.0" encoding="utf-8"?>
<ds:datastoreItem xmlns:ds="http://schemas.openxmlformats.org/officeDocument/2006/customXml" ds:itemID="{7A09A438-C495-4A94-8541-D032A4D7F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3771</Words>
  <Characters>18857</Characters>
  <Application>Microsoft Office Word</Application>
  <DocSecurity>0</DocSecurity>
  <Lines>157</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2024-11-24T06:36:00Z</dcterms:created>
  <dcterms:modified xsi:type="dcterms:W3CDTF">2024-11-24T06:36:00Z</dcterms:modified>
</cp:coreProperties>
</file>